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08" w:rsidRDefault="00DE0E08">
      <w:pPr>
        <w:pStyle w:val="ConsPlusTitlePage"/>
      </w:pPr>
      <w:bookmarkStart w:id="0" w:name="_GoBack"/>
      <w:bookmarkEnd w:id="0"/>
      <w:r>
        <w:br/>
      </w:r>
    </w:p>
    <w:p w:rsidR="00DE0E08" w:rsidRDefault="00DE0E08">
      <w:pPr>
        <w:pStyle w:val="ConsPlusNormal"/>
        <w:jc w:val="both"/>
        <w:outlineLvl w:val="0"/>
      </w:pPr>
    </w:p>
    <w:p w:rsidR="00DE0E08" w:rsidRDefault="00DE0E08">
      <w:pPr>
        <w:pStyle w:val="ConsPlusTitle"/>
        <w:jc w:val="center"/>
        <w:outlineLvl w:val="0"/>
      </w:pPr>
      <w:r>
        <w:t>ПРАВИТЕЛЬСТВО ИРКУТСКОЙ ОБЛАСТИ</w:t>
      </w:r>
    </w:p>
    <w:p w:rsidR="00DE0E08" w:rsidRDefault="00DE0E08">
      <w:pPr>
        <w:pStyle w:val="ConsPlusTitle"/>
        <w:jc w:val="center"/>
      </w:pPr>
    </w:p>
    <w:p w:rsidR="00DE0E08" w:rsidRDefault="00DE0E08">
      <w:pPr>
        <w:pStyle w:val="ConsPlusTitle"/>
        <w:jc w:val="center"/>
      </w:pPr>
      <w:r>
        <w:t>ПОСТАНОВЛЕНИЕ</w:t>
      </w:r>
    </w:p>
    <w:p w:rsidR="00DE0E08" w:rsidRDefault="00DE0E08">
      <w:pPr>
        <w:pStyle w:val="ConsPlusTitle"/>
        <w:jc w:val="center"/>
      </w:pPr>
      <w:r>
        <w:t>от 13 ноября 2023 г. N 1005-пп</w:t>
      </w:r>
    </w:p>
    <w:p w:rsidR="00DE0E08" w:rsidRDefault="00DE0E08">
      <w:pPr>
        <w:pStyle w:val="ConsPlusTitle"/>
        <w:jc w:val="center"/>
      </w:pPr>
    </w:p>
    <w:p w:rsidR="00DE0E08" w:rsidRDefault="00DE0E08">
      <w:pPr>
        <w:pStyle w:val="ConsPlusTitle"/>
        <w:jc w:val="center"/>
      </w:pPr>
      <w:r>
        <w:t>ОБ УТВЕРЖДЕНИИ ГОСУДАРСТВЕННОЙ ПРОГРАММЫ ИРКУТСКОЙ ОБЛАСТИ</w:t>
      </w:r>
    </w:p>
    <w:p w:rsidR="00DE0E08" w:rsidRDefault="00DE0E08">
      <w:pPr>
        <w:pStyle w:val="ConsPlusTitle"/>
        <w:jc w:val="center"/>
      </w:pPr>
      <w:r>
        <w:t>"ЭКОНОМИЧЕСКОЕ РАЗВИТИЕ И ИННОВАЦИОННАЯ ЭКОНОМИКА"</w:t>
      </w:r>
    </w:p>
    <w:p w:rsidR="00DE0E08" w:rsidRDefault="00DE0E08">
      <w:pPr>
        <w:pStyle w:val="ConsPlusTitle"/>
        <w:jc w:val="center"/>
      </w:pPr>
      <w:r>
        <w:t>И ПРИЗНАНИИ УТРАТИВШИМИ СИЛУ ОТДЕЛЬНЫХ ПОСТАНОВЛЕНИЙ</w:t>
      </w:r>
    </w:p>
    <w:p w:rsidR="00DE0E08" w:rsidRDefault="00DE0E08">
      <w:pPr>
        <w:pStyle w:val="ConsPlusTitle"/>
        <w:jc w:val="center"/>
      </w:pPr>
      <w:r>
        <w:t>ПРАВИТЕЛЬСТВА ИРКУТСКОЙ ОБЛАСТИ</w:t>
      </w:r>
    </w:p>
    <w:p w:rsidR="00DE0E08" w:rsidRDefault="00DE0E0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0E0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E08" w:rsidRDefault="00DE0E0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E08" w:rsidRDefault="00DE0E0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12.01.2024 </w:t>
            </w:r>
            <w:hyperlink r:id="rId4">
              <w:r>
                <w:rPr>
                  <w:color w:val="0000FF"/>
                </w:rPr>
                <w:t>N 9-пп</w:t>
              </w:r>
            </w:hyperlink>
            <w:r>
              <w:rPr>
                <w:color w:val="392C69"/>
              </w:rPr>
              <w:t xml:space="preserve">, от 29.02.2024 </w:t>
            </w:r>
            <w:hyperlink r:id="rId5">
              <w:r>
                <w:rPr>
                  <w:color w:val="0000FF"/>
                </w:rPr>
                <w:t>N 144-пп</w:t>
              </w:r>
            </w:hyperlink>
            <w:r>
              <w:rPr>
                <w:color w:val="392C69"/>
              </w:rPr>
              <w:t xml:space="preserve">, от 25.04.2024 </w:t>
            </w:r>
            <w:hyperlink r:id="rId6">
              <w:r>
                <w:rPr>
                  <w:color w:val="0000FF"/>
                </w:rPr>
                <w:t>N 317-пп</w:t>
              </w:r>
            </w:hyperlink>
            <w:r>
              <w:rPr>
                <w:color w:val="392C69"/>
              </w:rPr>
              <w:t>,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17.06.2024 </w:t>
            </w:r>
            <w:hyperlink r:id="rId7">
              <w:r>
                <w:rPr>
                  <w:color w:val="0000FF"/>
                </w:rPr>
                <w:t>N 467-пп</w:t>
              </w:r>
            </w:hyperlink>
            <w:r>
              <w:rPr>
                <w:color w:val="392C69"/>
              </w:rPr>
              <w:t xml:space="preserve">, от 24.07.2024 </w:t>
            </w:r>
            <w:hyperlink r:id="rId8">
              <w:r>
                <w:rPr>
                  <w:color w:val="0000FF"/>
                </w:rPr>
                <w:t>N 562-пп</w:t>
              </w:r>
            </w:hyperlink>
            <w:r>
              <w:rPr>
                <w:color w:val="392C69"/>
              </w:rPr>
              <w:t xml:space="preserve">, от 15.08.2024 </w:t>
            </w:r>
            <w:hyperlink r:id="rId9">
              <w:r>
                <w:rPr>
                  <w:color w:val="0000FF"/>
                </w:rPr>
                <w:t>N 636-пп</w:t>
              </w:r>
            </w:hyperlink>
            <w:r>
              <w:rPr>
                <w:color w:val="392C69"/>
              </w:rPr>
              <w:t>,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24.09.2024 </w:t>
            </w:r>
            <w:hyperlink r:id="rId10">
              <w:r>
                <w:rPr>
                  <w:color w:val="0000FF"/>
                </w:rPr>
                <w:t>N 739-пп</w:t>
              </w:r>
            </w:hyperlink>
            <w:r>
              <w:rPr>
                <w:color w:val="392C69"/>
              </w:rPr>
              <w:t xml:space="preserve">, от 13.11.2024 </w:t>
            </w:r>
            <w:hyperlink r:id="rId11">
              <w:r>
                <w:rPr>
                  <w:color w:val="0000FF"/>
                </w:rPr>
                <w:t>N 896-пп</w:t>
              </w:r>
            </w:hyperlink>
            <w:r>
              <w:rPr>
                <w:color w:val="392C69"/>
              </w:rPr>
              <w:t xml:space="preserve">, от 13.12.2024 </w:t>
            </w:r>
            <w:hyperlink r:id="rId12">
              <w:r>
                <w:rPr>
                  <w:color w:val="0000FF"/>
                </w:rPr>
                <w:t>N 1019-пп</w:t>
              </w:r>
            </w:hyperlink>
            <w:r>
              <w:rPr>
                <w:color w:val="392C69"/>
              </w:rPr>
              <w:t>,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16.12.2024 </w:t>
            </w:r>
            <w:hyperlink r:id="rId13">
              <w:r>
                <w:rPr>
                  <w:color w:val="0000FF"/>
                </w:rPr>
                <w:t>N 1038-пп</w:t>
              </w:r>
            </w:hyperlink>
            <w:r>
              <w:rPr>
                <w:color w:val="392C69"/>
              </w:rPr>
              <w:t xml:space="preserve">, от 30.01.2025 </w:t>
            </w:r>
            <w:hyperlink r:id="rId14">
              <w:r>
                <w:rPr>
                  <w:color w:val="0000FF"/>
                </w:rPr>
                <w:t>N 74-пп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E08" w:rsidRDefault="00DE0E08">
            <w:pPr>
              <w:pStyle w:val="ConsPlusNormal"/>
            </w:pPr>
          </w:p>
        </w:tc>
      </w:tr>
    </w:tbl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 xml:space="preserve">В соответствии со </w:t>
      </w:r>
      <w:hyperlink r:id="rId15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16">
        <w:r>
          <w:rPr>
            <w:color w:val="0000FF"/>
          </w:rPr>
          <w:t>пунктом 13</w:t>
        </w:r>
      </w:hyperlink>
      <w:r>
        <w:t xml:space="preserve"> Положения о порядке принятия решений о разработке государственных программ Иркутской области и их формирования и реализации, утвержденного постановлением Правительства Иркутской области от 31 августа 2023 года N 767-пп, руководствуясь </w:t>
      </w:r>
      <w:hyperlink r:id="rId17">
        <w:r>
          <w:rPr>
            <w:color w:val="0000FF"/>
          </w:rPr>
          <w:t>частью 4 статьи 66</w:t>
        </w:r>
      </w:hyperlink>
      <w:r>
        <w:t xml:space="preserve">, </w:t>
      </w:r>
      <w:hyperlink r:id="rId18">
        <w:r>
          <w:rPr>
            <w:color w:val="0000FF"/>
          </w:rPr>
          <w:t>статьей 67</w:t>
        </w:r>
      </w:hyperlink>
      <w:r>
        <w:t xml:space="preserve"> Устава Иркутской области, Правительство Иркутской области постановляет: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 xml:space="preserve">1. Утвердить государственную </w:t>
      </w:r>
      <w:hyperlink w:anchor="P93">
        <w:r>
          <w:rPr>
            <w:color w:val="0000FF"/>
          </w:rPr>
          <w:t>программу</w:t>
        </w:r>
      </w:hyperlink>
      <w:r>
        <w:t xml:space="preserve"> Иркутской области "Экономическое развитие и инновационная экономика" (прилагается).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2. Признать утратившими силу: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1)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12 ноября 2018 года N 828-пп "Об утверждении государственной программы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2) </w:t>
      </w: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22 января 2019 года N 23-пп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3) </w:t>
      </w: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5 февраля 2019 года N 72-пп "О внесении изменений в государственную программу Иркутской области "Экономическое развитие и инновационная экономика" на 2019 - 2024 годы и признании утратившими силу отдельных постановлений Правительства Иркутской области";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4) </w:t>
      </w: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5 февраля 2019 года N 73-пп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5)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8 мая 2019 года N 377-пп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6)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21 мая 2019 года N 417-пп "О внесении изменений в государственную программу Иркутской области "Экономическое развитие и </w:t>
      </w:r>
      <w:r>
        <w:lastRenderedPageBreak/>
        <w:t>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7)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25 июня 2019 года N 504-пп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8)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12 августа 2019 года N 613-пп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9)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 августа 2019 года N 686-пп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10)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6 сентября 2019 года N 740-пп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11) </w:t>
      </w: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13 сентября 2019 года N 753-пп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12)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11 октября 2019 года N 846-пп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13)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21 октября 2019 года N 859-пп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14)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6 ноября 2019 года N 920-пп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15)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17 декабря 2019 года N 1081-пп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16)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17 декабря 2019 года N 1083-пп "О внесении изменений в государственную программу Иркутской области "Экономическое развитие и инновационная экономика" на 2019 - 2024 годы и признании утратившим силу постановления Правительства Иркутской области от 6 ноября 2019 года N 920-пп";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17) </w:t>
      </w:r>
      <w:hyperlink r:id="rId3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19 февраля 2020 года N 94-пп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18)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 февраля 2020 года N 120-пп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19)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26 июня 2020 года N 518-пп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20)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26 июня 2020 года N 519-пп "О </w:t>
      </w:r>
      <w:r>
        <w:lastRenderedPageBreak/>
        <w:t>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21)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17 сентября 2020 года N 764-пп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22)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5 ноября 2020 года N 903-пп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23)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6 ноября 2020 года N 905-пп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24) </w:t>
      </w:r>
      <w:hyperlink r:id="rId4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 декабря 2020 года N 1188-пп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25) </w:t>
      </w:r>
      <w:hyperlink r:id="rId43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 марта 2021 года N 127-пп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26)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13 мая 2021 года N 327-пп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27)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27 июля 2021 года N 514-пп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28) </w:t>
      </w: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27 августа 2021 года N 602-пп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29)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7 октября 2021 года N 728-пп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30) </w:t>
      </w:r>
      <w:hyperlink r:id="rId48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 октября 2021 года N 793-пп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31)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9 декабря 2021 года N 948-пп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32)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10 декабря 2021 года N 950-пп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33)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10 декабря 2021 года N 951-пп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34) </w:t>
      </w:r>
      <w:hyperlink r:id="rId5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30 декабря 2021 года N 1090-пп "О </w:t>
      </w:r>
      <w:r>
        <w:lastRenderedPageBreak/>
        <w:t>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35) </w:t>
      </w:r>
      <w:hyperlink r:id="rId53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25 февраля 2022 года N 122-пп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36) </w:t>
      </w:r>
      <w:hyperlink r:id="rId54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18 марта 2022 года N 198-пп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37) </w:t>
      </w:r>
      <w:hyperlink r:id="rId5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25 апреля 2022 года N 322-пп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38) </w:t>
      </w:r>
      <w:hyperlink r:id="rId5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20 июня 2022 года N 470-пп "О внесении изменений в государственную программу Иркутской области "Экономическое развитие и инновационная экономика" на 2019 - 2024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39)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14 июля 2022 года N 544-пп "О внесении изменений в постановление Правительства Иркутской области от 12 ноября 2018 года N 828-пп";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40) </w:t>
      </w:r>
      <w:hyperlink r:id="rId58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 июля 2022 года N 595-пп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41)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 августа 2022 года N 602-пп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42)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 октября 2022 года N 835-пп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43)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11 ноября 2022 года N 873-пп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44) </w:t>
      </w:r>
      <w:hyperlink r:id="rId6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 декабря 2022 года N 1095-пп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45) </w:t>
      </w:r>
      <w:hyperlink r:id="rId63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 февраля 2023 года N 143-пп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46)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20 апреля 2023 года N 340-пп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47) </w:t>
      </w:r>
      <w:hyperlink r:id="rId6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25 апреля 2023 года N 356-пп "О 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48) </w:t>
      </w:r>
      <w:hyperlink r:id="rId6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26 июня 2023 года N 541-пп "О </w:t>
      </w:r>
      <w:r>
        <w:lastRenderedPageBreak/>
        <w:t>внесении изменений в государственную программу Иркутской области "Экономическое развитие и инновационная экономика" на 2019 - 2025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49) </w:t>
      </w:r>
      <w:hyperlink r:id="rId67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5 июля 2023 года N 564-пп "О внесении изменений в постановление Правительства Иркутской области от 12 ноября 2018 года N 828-пп";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50) </w:t>
      </w:r>
      <w:hyperlink r:id="rId68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21 июля 2023 года N 611-пп "О внесении изменений в государственную программу Иркутской области "Экономическое развитие и инновационная экономика" на 2019 - 2026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51) </w:t>
      </w:r>
      <w:hyperlink r:id="rId6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24 июля 2023 года N 626-пп "О внесении изменений в государственную программу Иркутской области "Экономическое развитие и инновационная экономика" на 2019 - 2026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52) </w:t>
      </w:r>
      <w:hyperlink r:id="rId70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22 августа 2023 года N 732-пп "О внесении изменений в государственную программу Иркутской области "Экономическое развитие и инновационная экономика" на 2019 - 2026 годы";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53) </w:t>
      </w:r>
      <w:hyperlink r:id="rId71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8 сентября 2023 года N 787-пп "О внесении изменений в государственную программу Иркутской области "Экономическое развитие и инновационная экономика" на 2019 - 2026 годы".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3. Настоящее постановление подлежит официальному опубликованию на "Официальном интернет-портале правовой информации" (</w:t>
      </w:r>
      <w:hyperlink r:id="rId72">
        <w:r>
          <w:rPr>
            <w:color w:val="0000FF"/>
          </w:rPr>
          <w:t>www.pravo.gov.ru</w:t>
        </w:r>
      </w:hyperlink>
      <w:r>
        <w:t>).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4. Настоящее постановление вступает в силу с 1 января 2024 года.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jc w:val="right"/>
      </w:pPr>
      <w:r>
        <w:t>Председатель Правительства</w:t>
      </w:r>
    </w:p>
    <w:p w:rsidR="00DE0E08" w:rsidRDefault="00DE0E08">
      <w:pPr>
        <w:pStyle w:val="ConsPlusNormal"/>
        <w:jc w:val="right"/>
      </w:pPr>
      <w:r>
        <w:t>Иркутской области</w:t>
      </w:r>
    </w:p>
    <w:p w:rsidR="00DE0E08" w:rsidRDefault="00DE0E08">
      <w:pPr>
        <w:pStyle w:val="ConsPlusNormal"/>
        <w:jc w:val="right"/>
      </w:pPr>
      <w:r>
        <w:t>К.Б.ЗАЙЦЕВ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jc w:val="right"/>
        <w:outlineLvl w:val="0"/>
      </w:pPr>
      <w:r>
        <w:t>Утверждена</w:t>
      </w:r>
    </w:p>
    <w:p w:rsidR="00DE0E08" w:rsidRDefault="00DE0E08">
      <w:pPr>
        <w:pStyle w:val="ConsPlusNormal"/>
        <w:jc w:val="right"/>
      </w:pPr>
      <w:r>
        <w:t>постановлением Правительства</w:t>
      </w:r>
    </w:p>
    <w:p w:rsidR="00DE0E08" w:rsidRDefault="00DE0E08">
      <w:pPr>
        <w:pStyle w:val="ConsPlusNormal"/>
        <w:jc w:val="right"/>
      </w:pPr>
      <w:r>
        <w:t>Иркутской области</w:t>
      </w:r>
    </w:p>
    <w:p w:rsidR="00DE0E08" w:rsidRDefault="00DE0E08">
      <w:pPr>
        <w:pStyle w:val="ConsPlusNormal"/>
        <w:jc w:val="right"/>
      </w:pPr>
      <w:r>
        <w:t>от 13 ноября 2023 г. N 1005-пп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</w:pPr>
      <w:bookmarkStart w:id="1" w:name="P93"/>
      <w:bookmarkEnd w:id="1"/>
      <w:r>
        <w:t>ГОСУДАРСТВЕННАЯ ПРОГРАММА</w:t>
      </w:r>
    </w:p>
    <w:p w:rsidR="00DE0E08" w:rsidRDefault="00DE0E08">
      <w:pPr>
        <w:pStyle w:val="ConsPlusTitle"/>
        <w:jc w:val="center"/>
      </w:pPr>
      <w:r>
        <w:t>ИРКУТСКОЙ ОБЛАСТИ "ЭКОНОМИЧЕСКОЕ РАЗВИТИЕ И ИННОВАЦИОННАЯ</w:t>
      </w:r>
    </w:p>
    <w:p w:rsidR="00DE0E08" w:rsidRDefault="00DE0E08">
      <w:pPr>
        <w:pStyle w:val="ConsPlusTitle"/>
        <w:jc w:val="center"/>
      </w:pPr>
      <w:r>
        <w:t>ЭКОНОМИКА"</w:t>
      </w:r>
    </w:p>
    <w:p w:rsidR="00DE0E08" w:rsidRDefault="00DE0E0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0E0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E08" w:rsidRDefault="00DE0E0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E08" w:rsidRDefault="00DE0E0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12.01.2024 </w:t>
            </w:r>
            <w:hyperlink r:id="rId73">
              <w:r>
                <w:rPr>
                  <w:color w:val="0000FF"/>
                </w:rPr>
                <w:t>N 9-пп</w:t>
              </w:r>
            </w:hyperlink>
            <w:r>
              <w:rPr>
                <w:color w:val="392C69"/>
              </w:rPr>
              <w:t xml:space="preserve">, от 29.02.2024 </w:t>
            </w:r>
            <w:hyperlink r:id="rId74">
              <w:r>
                <w:rPr>
                  <w:color w:val="0000FF"/>
                </w:rPr>
                <w:t>N 144-пп</w:t>
              </w:r>
            </w:hyperlink>
            <w:r>
              <w:rPr>
                <w:color w:val="392C69"/>
              </w:rPr>
              <w:t xml:space="preserve">, от 25.04.2024 </w:t>
            </w:r>
            <w:hyperlink r:id="rId75">
              <w:r>
                <w:rPr>
                  <w:color w:val="0000FF"/>
                </w:rPr>
                <w:t>N 317-пп</w:t>
              </w:r>
            </w:hyperlink>
            <w:r>
              <w:rPr>
                <w:color w:val="392C69"/>
              </w:rPr>
              <w:t>,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17.06.2024 </w:t>
            </w:r>
            <w:hyperlink r:id="rId76">
              <w:r>
                <w:rPr>
                  <w:color w:val="0000FF"/>
                </w:rPr>
                <w:t>N 467-пп</w:t>
              </w:r>
            </w:hyperlink>
            <w:r>
              <w:rPr>
                <w:color w:val="392C69"/>
              </w:rPr>
              <w:t xml:space="preserve">, от 24.07.2024 </w:t>
            </w:r>
            <w:hyperlink r:id="rId77">
              <w:r>
                <w:rPr>
                  <w:color w:val="0000FF"/>
                </w:rPr>
                <w:t>N 562-пп</w:t>
              </w:r>
            </w:hyperlink>
            <w:r>
              <w:rPr>
                <w:color w:val="392C69"/>
              </w:rPr>
              <w:t xml:space="preserve">, от 15.08.2024 </w:t>
            </w:r>
            <w:hyperlink r:id="rId78">
              <w:r>
                <w:rPr>
                  <w:color w:val="0000FF"/>
                </w:rPr>
                <w:t>N 636-пп</w:t>
              </w:r>
            </w:hyperlink>
            <w:r>
              <w:rPr>
                <w:color w:val="392C69"/>
              </w:rPr>
              <w:t>,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24.09.2024 </w:t>
            </w:r>
            <w:hyperlink r:id="rId79">
              <w:r>
                <w:rPr>
                  <w:color w:val="0000FF"/>
                </w:rPr>
                <w:t>N 739-пп</w:t>
              </w:r>
            </w:hyperlink>
            <w:r>
              <w:rPr>
                <w:color w:val="392C69"/>
              </w:rPr>
              <w:t xml:space="preserve">, от 13.11.2024 </w:t>
            </w:r>
            <w:hyperlink r:id="rId80">
              <w:r>
                <w:rPr>
                  <w:color w:val="0000FF"/>
                </w:rPr>
                <w:t>N 896-пп</w:t>
              </w:r>
            </w:hyperlink>
            <w:r>
              <w:rPr>
                <w:color w:val="392C69"/>
              </w:rPr>
              <w:t xml:space="preserve">, от 13.12.2024 </w:t>
            </w:r>
            <w:hyperlink r:id="rId81">
              <w:r>
                <w:rPr>
                  <w:color w:val="0000FF"/>
                </w:rPr>
                <w:t>N 1019-пп</w:t>
              </w:r>
            </w:hyperlink>
            <w:r>
              <w:rPr>
                <w:color w:val="392C69"/>
              </w:rPr>
              <w:t>,</w:t>
            </w:r>
          </w:p>
          <w:p w:rsidR="00DE0E08" w:rsidRDefault="00DE0E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16.12.2024 </w:t>
            </w:r>
            <w:hyperlink r:id="rId82">
              <w:r>
                <w:rPr>
                  <w:color w:val="0000FF"/>
                </w:rPr>
                <w:t>N 1038-пп</w:t>
              </w:r>
            </w:hyperlink>
            <w:r>
              <w:rPr>
                <w:color w:val="392C69"/>
              </w:rPr>
              <w:t xml:space="preserve">, от 30.01.2025 </w:t>
            </w:r>
            <w:hyperlink r:id="rId83">
              <w:r>
                <w:rPr>
                  <w:color w:val="0000FF"/>
                </w:rPr>
                <w:t>N 74-пп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E08" w:rsidRDefault="00DE0E08">
            <w:pPr>
              <w:pStyle w:val="ConsPlusNormal"/>
            </w:pPr>
          </w:p>
        </w:tc>
      </w:tr>
    </w:tbl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1"/>
      </w:pPr>
      <w:r>
        <w:t>Раздел I. СТРАТЕГИЧЕСКИЕ ПРИОРИТЕТЫ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2"/>
      </w:pPr>
      <w:r>
        <w:lastRenderedPageBreak/>
        <w:t>Глава 1. ПРИОРИТЕТЫ И ЦЕЛИ ГОСУДАРСТВЕННОЙ ПРОГРАММЫ</w:t>
      </w:r>
    </w:p>
    <w:p w:rsidR="00DE0E08" w:rsidRDefault="00DE0E08">
      <w:pPr>
        <w:pStyle w:val="ConsPlusTitle"/>
        <w:jc w:val="center"/>
      </w:pPr>
      <w:r>
        <w:t>ИРКУТСКОЙ ОБЛАСТИ "ЭКОНОМИЧЕСКОЕ РАЗВИТИЕ И ИННОВАЦИОННАЯ</w:t>
      </w:r>
    </w:p>
    <w:p w:rsidR="00DE0E08" w:rsidRDefault="00DE0E08">
      <w:pPr>
        <w:pStyle w:val="ConsPlusTitle"/>
        <w:jc w:val="center"/>
      </w:pPr>
      <w:r>
        <w:t>ЭКОНОМИКА"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Основными стратегическими документами в сфере реализации государственной программы Иркутской области "Экономическое развитие и инновационная экономика" (далее - государственная программа) являются:</w:t>
      </w:r>
    </w:p>
    <w:p w:rsidR="00DE0E08" w:rsidRDefault="00F412AD">
      <w:pPr>
        <w:pStyle w:val="ConsPlusNormal"/>
        <w:spacing w:before="220"/>
        <w:ind w:firstLine="540"/>
        <w:jc w:val="both"/>
      </w:pPr>
      <w:hyperlink r:id="rId84">
        <w:r w:rsidR="00DE0E08">
          <w:rPr>
            <w:color w:val="0000FF"/>
          </w:rPr>
          <w:t>Указ</w:t>
        </w:r>
      </w:hyperlink>
      <w:r w:rsidR="00DE0E08"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 2024 года";</w:t>
      </w:r>
    </w:p>
    <w:p w:rsidR="00DE0E08" w:rsidRDefault="00F412AD">
      <w:pPr>
        <w:pStyle w:val="ConsPlusNormal"/>
        <w:spacing w:before="220"/>
        <w:ind w:firstLine="540"/>
        <w:jc w:val="both"/>
      </w:pPr>
      <w:hyperlink r:id="rId85">
        <w:r w:rsidR="00DE0E08">
          <w:rPr>
            <w:color w:val="0000FF"/>
          </w:rPr>
          <w:t>Указ</w:t>
        </w:r>
      </w:hyperlink>
      <w:r w:rsidR="00DE0E08"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года";</w:t>
      </w:r>
    </w:p>
    <w:p w:rsidR="00DE0E08" w:rsidRDefault="00DE0E08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24.07.2024 N 562-пп)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государственная </w:t>
      </w:r>
      <w:hyperlink r:id="rId87">
        <w:r>
          <w:rPr>
            <w:color w:val="0000FF"/>
          </w:rPr>
          <w:t>программа</w:t>
        </w:r>
      </w:hyperlink>
      <w:r>
        <w:t xml:space="preserve"> Российской Федерации "Экономическое развитие и инновационная экономика", утвержденная постановлением Правительства Российской Федерации от 15 апреля 2014 года N 316;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государственная </w:t>
      </w:r>
      <w:hyperlink r:id="rId88">
        <w:r>
          <w:rPr>
            <w:color w:val="0000FF"/>
          </w:rPr>
          <w:t>программа</w:t>
        </w:r>
      </w:hyperlink>
      <w:r>
        <w:t xml:space="preserve"> Российской Федерации "Развитие промышленности и повышение ее конкурентоспособности", утвержденная постановлением Правительства Российской Федерации от 15 апреля 2014 года N 328;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государственная </w:t>
      </w:r>
      <w:hyperlink r:id="rId89">
        <w:r>
          <w:rPr>
            <w:color w:val="0000FF"/>
          </w:rPr>
          <w:t>программа</w:t>
        </w:r>
      </w:hyperlink>
      <w:r>
        <w:t xml:space="preserve"> Российской Федерации "Научно-технологическое развитие Российской Федерации", утвержденная постановлением Правительства Российской Федерации от 29 марта 2019 года N 377;</w:t>
      </w:r>
    </w:p>
    <w:p w:rsidR="00DE0E08" w:rsidRDefault="00F412AD">
      <w:pPr>
        <w:pStyle w:val="ConsPlusNormal"/>
        <w:spacing w:before="220"/>
        <w:ind w:firstLine="540"/>
        <w:jc w:val="both"/>
      </w:pPr>
      <w:hyperlink r:id="rId90">
        <w:r w:rsidR="00DE0E08">
          <w:rPr>
            <w:color w:val="0000FF"/>
          </w:rPr>
          <w:t>Закон</w:t>
        </w:r>
      </w:hyperlink>
      <w:r w:rsidR="00DE0E08">
        <w:t xml:space="preserve"> Иркутской области от 10 января 2022 года N 15-ОЗ "Об утверждении стратегии социально-экономического развития Иркутской области на период до 2036 года" (далее - Стратегия).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Реализация мероприятий (результатов) структурных элементов государственной программы влияет на достижение целевых показателей и задач, характеризующих достижение национальных целей развития Российской Федерации на период до 2030 года и на перспективу до 2036 года (далее - национальные цели развития Российской Федерации) "Устойчивая и динамичная экономика" и "Технологическое лидерство".</w:t>
      </w:r>
    </w:p>
    <w:p w:rsidR="00DE0E08" w:rsidRDefault="00DE0E08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24.07.2024 N 562-пп)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Абзацы девятый - двенадцатый утратили силу. - </w:t>
      </w:r>
      <w:hyperlink r:id="rId9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24.07.2024 N 562-пп.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Вклад в достижение национальных целей развития Российской Федерации обеспечивается в том числе путем достижения показателей государственной программы:</w:t>
      </w:r>
    </w:p>
    <w:p w:rsidR="00DE0E08" w:rsidRDefault="00DE0E08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24.07.2024 N 562-пп)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бюджета;</w:t>
      </w:r>
    </w:p>
    <w:p w:rsidR="00DE0E08" w:rsidRDefault="00DE0E08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24.07.2024 N 562-пп)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численность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абзацы шестнадцатый - семнадцатый утратили силу. - </w:t>
      </w:r>
      <w:hyperlink r:id="rId9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24.07.2024 N 562-пп.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lastRenderedPageBreak/>
        <w:t>Государственная программа является инструментом достижения следующих тактических целей приоритета "Экономический рост и эффективное управление" Стратегии: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повышение инвестиционной привлекательности Иркутской области (далее - область);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развитие сферы малого и среднего предпринимательства как одного из факторов инновационного развития, улучшения отраслевой структуры экономики, увеличения занятости населения и снижения безработицы;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развитие внешнеэкономических и межрегиональных связей области;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обеспечение государственной поддержки инновационной деятельности и управление научной и научно-технической деятельностью.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 соответствии с приоритетными направлениями социально-экономического развития области определены цели государственной программы: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повышение инвестиционной привлекательности региона, характеризующейся ростом физического объема инвестиций в основной капитал по отношению к 2020 году в объеме 170,0% к 2030 году;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, до 383,6 тыс. чел. к 2030 году путем создания благоприятного предпринимательского климата и условий для ведения бизнеса;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развитие внешнеэкономических и межрегиональных связей путем формирования положительного имиджа региона и создания условий в том числе для устойчивого роста к 2030 году экспорта </w:t>
      </w:r>
      <w:proofErr w:type="spellStart"/>
      <w:r>
        <w:t>несырьевых</w:t>
      </w:r>
      <w:proofErr w:type="spellEnd"/>
      <w:r>
        <w:t xml:space="preserve"> неэнергетических товаров не менее 70% по сравнению с показателем 2020 года;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развитие промышленных предприятий путем укрепления действующих институтов поддержки и развития промышленности с целью поддержания индекса промышленного производства на уровне не ниже 100,6% ежегодно до 2030 года.</w:t>
      </w:r>
    </w:p>
    <w:p w:rsidR="00DE0E08" w:rsidRDefault="00DE0E08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30.01.2025 N 74-пп)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2"/>
      </w:pPr>
      <w:r>
        <w:t>Глава 2. АНАЛИЗ ТЕКУЩЕГО СОСТОЯНИЯ СФЕРЫ РЕАЛИЗАЦИИ</w:t>
      </w:r>
    </w:p>
    <w:p w:rsidR="00DE0E08" w:rsidRDefault="00DE0E08">
      <w:pPr>
        <w:pStyle w:val="ConsPlusTitle"/>
        <w:jc w:val="center"/>
      </w:pPr>
      <w:r>
        <w:t>ГОСУДАРСТВЕННОЙ ПРОГРАММЫ, ОБОСНОВАНИЕ ЦЕЛЕСООБРАЗНОСТИ</w:t>
      </w:r>
    </w:p>
    <w:p w:rsidR="00DE0E08" w:rsidRDefault="00DE0E08">
      <w:pPr>
        <w:pStyle w:val="ConsPlusTitle"/>
        <w:jc w:val="center"/>
      </w:pPr>
      <w:r>
        <w:t>РАЗРАБОТКИ ГОСУДАРСТВЕННОЙ ПРОГРАММЫ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Область относится к экономически развитым регионам Сибирского федерального округа Российской Федерации (далее - СФО) и страны в целом, подтверждением тому являются лидирующие позиции среди регионов СФО по важнейшим макроэкономическим показателям: валовому региональному продукту, прибыльности предприятий, налоговой отдаче, инвестициям в основной капитал.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По предварительной оценке, объем валового регионального продукта (далее - ВРП) - одного из важнейших интегральных показателей, характеризующих уровень развития области, в 2022 году составил 2 125,2 млрд. рублей (индекс физического объема - 101,0%). В 2021 году аналогичные показатели достигли уровня 1 924,4 млрд. рублей (индекс физического объема - 104,6%). Наибольшую долю в структуре ВРП области традиционно занимают следующие виды экономической деятельности: "добыча полезных ископаемых" (32,9%), "обрабатывающие производства" (10,5%), "транспортировка и хранение" (8,6%).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Область является одним из богатейших регионов России по природно-ресурсному потенциалу - здесь сосредоточены крупнейшие запасы топливно-энергетических, водных, лесных и минерально-сырьевых ресурсов, чем обеспечено преобладание в структуре региональной </w:t>
      </w:r>
      <w:r>
        <w:lastRenderedPageBreak/>
        <w:t>экономики крупных промышленных предприятий.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Выгодно и географическое расположение области. Область находится почти в центре материка, на пересечении основных транспортных магистралей, соединяющих Европу с дальневосточной частью России и странами Азиатско-Тихоокеанского региона.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Благоприятные условия для подъема экономики области создает в том числе развитая энергосистема области, включающая в себя 15 действующих тепловых электростанций (ТЭЦ) и четыре гидроэлектростанции (ГЭС).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Кроме того, на территории области реализуется комплекс мер, направленных на привлечение инвестиций в экономику области. Созданы особая экономическая зона туристско-рекреационного типа "Ворота Байкала" и четыре территории опережающего социально-экономического развития (ТОСЭР) - "Усолье-Сибирское", "Саянск", "Черемхово" и "Тулун".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Научную и инновационную инфраструктуру области составляют 16 институтов Сибирского отделения Российской академии наук (РАН) и более чем 20 прикладных научно-исследовательских и проектных институтов, создавая возможности для раскрытия интеллектуального потенциала научных работников и предпосылки к расширению и укреплению высокотехнологичных и наукоемких отраслей.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Таким образом, область обладает высоким промышленным, природно-ресурсным и интеллектуальным потенциалом, что создает ряд конкурентных преимуществ для развития экономики области: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относительно низкая стоимость энергоресурсов;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крупные запасы доступных полезных ископаемых. Область является одним из самых богатых минеральными ресурсами регионов России. В балансе полезных ископаемых на территории области учтен 71 вид минерального сырья;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высокий промышленный потенциал. Наличие большого комплекса производственных мощностей на территории области в секторах машиностроения, металлургии, химии и нефтехимии, горнодобывающей промышленности, агропромышленного комплекса и других секторов экономики;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уникальные рекреационные, лесные и водные ресурсы;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транспортно-логистический потенциал (БАМ, Транссиб, автомобильные трассы федерального значения, международные аэропорты в Иркутске и Братске);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развитый научно-образовательный комплекс, концентрация квалифицированного трудового потенциала.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 области уделяется особое внимание формированию взаимовыгодных и прочных межрегиональных и международных отношений, укрепление таких связей ориентировано на качественный рост экономики и повышение уровня благополучия населения области. В настоящее время в области реализуются более 30 действующих соглашений о торгово-экономическом, научно-техническом и культурном сотрудничестве на межрегиональном уровне и шесть соглашений об осуществлении международных и внешнеэкономических связей. С 1992 года область входит в состав Межрегиональной ассоциации экономического взаимодействия субъектов Российской Федерации "Сибирское Соглашение", а в 2010 году область присоединилась к Ассоциации инновационных регионов России.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3"/>
      </w:pPr>
      <w:r>
        <w:t>Инвестиционный потенциал области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lastRenderedPageBreak/>
        <w:t>В области ежегодно растет объем инвестиций в основной капитал, который по оценке 2023 года составит 922,2 млрд. рублей (104,6% по отношению к 2022 году), за 2022 год составил 834,0 млрд. рублей (138% по отношению к 2021 году). По данному показателю область занимает 7 место по России и 1 место среди регионов СФО. В 2021 году данный показатель составлял 516,3 млрд. рублей, в 2020 - 380,0 млрд. рублей.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 области реализуется свыше 180 инвестиционных проектов с объемом инвестиций порядка 3 трлн. рублей. Реализация этих проектов в перспективе позволит создать 40 тыс. новых высокопроизводительных рабочих мест и увеличить налоги в бюджеты всех уровней на 2 трлн. рублей.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Среди реализуемых масштабных проектов следует выделить строительство </w:t>
      </w:r>
      <w:proofErr w:type="spellStart"/>
      <w:r>
        <w:t>газохимического</w:t>
      </w:r>
      <w:proofErr w:type="spellEnd"/>
      <w:r>
        <w:t xml:space="preserve"> комплекса в городе Усть-Куте, алюминиевого завода в </w:t>
      </w:r>
      <w:proofErr w:type="spellStart"/>
      <w:r>
        <w:t>Тайшетском</w:t>
      </w:r>
      <w:proofErr w:type="spellEnd"/>
      <w:r>
        <w:t xml:space="preserve"> районе, создание картонного производства в городе Усть-Илимске, реализацию проекта по освоению крупнейшего в России месторождения золота "Сухой Лог" и </w:t>
      </w:r>
      <w:proofErr w:type="spellStart"/>
      <w:r>
        <w:t>газохимического</w:t>
      </w:r>
      <w:proofErr w:type="spellEnd"/>
      <w:r>
        <w:t xml:space="preserve"> комплекса на базе </w:t>
      </w:r>
      <w:proofErr w:type="spellStart"/>
      <w:r>
        <w:t>Ковыктинского</w:t>
      </w:r>
      <w:proofErr w:type="spellEnd"/>
      <w:r>
        <w:t xml:space="preserve"> месторождения.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Создание благоприятных условий для привлечения инвестиций и позиционирование положительного имиджа области оказывает прямое влияние на повышение инвестиционной привлекательности области.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 области созданы дополнительные инструменты для реализации инвестиционной политики: сформирована нормативная правовая база для реализации инвестиционных проектов на принципах государственно-частного партнерства и заключения соглашений о защите и поощрении капиталовложений, осуществляется внедрение элементов Регионального инвестиционного стандарта, создана обширная сеть институтов развития инвестиционной деятельности.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К проблемам, влияющим на формирование инвестиционной политики можно отнести: санкции недружественных стран в отношении Российской Федерации, колебания мировой рыночной конъюнктуры, курсов валют, ставок по банковским кредитам, цен на энергоносители, неуверенность в успешности преодоления последствий глобального финансового кризиса, затянувшуюся реструктуризацию старых промышленных предприятий, низкую степень доступности рынков сырья, передовых технологий, уровень цен на них, неопределенность в процессе организации сбыта продукции, преодоление последствий распространения </w:t>
      </w:r>
      <w:proofErr w:type="spellStart"/>
      <w:r>
        <w:t>коронавирусной</w:t>
      </w:r>
      <w:proofErr w:type="spellEnd"/>
      <w:r>
        <w:t xml:space="preserve"> инфекции (COVID-19), высокую степень непредсказуемости в сфере вложения инвестиций, неразвитость инфраструктуры и др.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Среди основных приоритетных направлений развития инвестиционной деятельности следует выделить: развитие системы государственной поддержки субъектов инвестиционной деятельности; создание благоприятной административной среды; совершенствование и активизацию взаимодействия с институтами развития инвестиционной деятельности в целях продвижения инвестиционных проектов области; развитие элементов инвестиционной инфраструктуры; развитие системы государственно-частного партнерства и защиты и поощрения капиталовложений; формирование благоприятного инвестиционного имиджа области, в том числе за счет улучшения позиции области в Национальном рейтинге состояния инвестиционного климата в субъектах Российской Федерации.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3"/>
      </w:pPr>
      <w:r>
        <w:t>Поддержка и развитие малого и среднего предпринимательства</w:t>
      </w:r>
    </w:p>
    <w:p w:rsidR="00DE0E08" w:rsidRDefault="00DE0E08">
      <w:pPr>
        <w:pStyle w:val="ConsPlusTitle"/>
        <w:jc w:val="center"/>
      </w:pPr>
      <w:r>
        <w:t>в области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 xml:space="preserve">Предпринимательская деятельность является основным элементом современной рыночной экономики и способствует образованию регулируемого, социально ориентированного рыночного механизма, поддержанию здоровой конкурентной среды, обеспечению предпосылок для быстрого и устойчивого экономического роста. Предпринимательство в значительной степени решает проблему безработицы, а также способствует появлению среднего класса и класса мелких </w:t>
      </w:r>
      <w:r>
        <w:lastRenderedPageBreak/>
        <w:t>собственников, заинтересованных в стабилизации экономики.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По числу субъектов малого и среднего предпринимательства область занимает 16-е место среди регионов Российской Федерации и 3-е место среди регионов в СФО. В 2022 году на территории области было зарегистрировано 85 300 субъектов МСП, 31 542 юридических лица и 53 758 индивидуальных предпринимателей, по сравнению с 2021 годом отмечается незначительное сокращение на 1,05%.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Почти четверть работающего населения и общего объема оборота продукции и услуг, производимых и реализуемых предприятиями </w:t>
      </w:r>
      <w:proofErr w:type="spellStart"/>
      <w:r>
        <w:t>Приангарья</w:t>
      </w:r>
      <w:proofErr w:type="spellEnd"/>
      <w:r>
        <w:t>, приходится на сектор малого и среднего бизнеса.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Численность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 xml:space="preserve"> граждан, в 2022 году составила 341,4 тыс. человек, по сравнению с 2021 годом увеличение на 15,3% (на уровне Российской Федерации и СФО).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Оборот предприятий малого и среднего бизнеса в 2022 году составил 829,0 млрд. рублей, по сравнению с 2021 годом наблюдается снижение на 5,4%, объем выручки индивидуальных предпринимателей за 2022 год достиг 350,7 млн. рублей, по сравнению с 2021 годом увеличен на 16,7%.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На сегодняшний день для малых и средних предприятий доступны финансовые и нефинансовые меры, реализуемые в том числе региональными организациями, образующими инфраструктуру поддержки предпринимательства: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Фонд поддержки и развития предпринимательства Иркутской области Центр "Мой бизнес" (далее - центр), который обеспечивает комплексную поддержку бизнеса в виде профессиональных услуг для бизнеса, помощи в разработке бизнес-планов, поиске инвесторов и финансировании, обеспечивает доступ субъектов МСП к кредитным и иным финансовым ресурсам посредством предоставления поручительства по обязательствам, основанным на кредитных договорах, договорах займа, лизинга или банковской гарантии. Центр объединяет на одной площадке основные институты развития и оказывает по принципу "одного окна" комплекс необходимых услуг для начала и ведения предпринимательской деятельности.</w:t>
      </w:r>
    </w:p>
    <w:p w:rsidR="00DE0E08" w:rsidRDefault="00DE0E08">
      <w:pPr>
        <w:pStyle w:val="ConsPlusNormal"/>
        <w:spacing w:before="220"/>
        <w:ind w:firstLine="540"/>
        <w:jc w:val="both"/>
      </w:pPr>
      <w:proofErr w:type="spellStart"/>
      <w:r>
        <w:t>Микрокредитная</w:t>
      </w:r>
      <w:proofErr w:type="spellEnd"/>
      <w:r>
        <w:t xml:space="preserve"> компания "Фонд микрокредитования Иркутской области" предоставляет </w:t>
      </w:r>
      <w:proofErr w:type="spellStart"/>
      <w:r>
        <w:t>микрозаймы</w:t>
      </w:r>
      <w:proofErr w:type="spellEnd"/>
      <w:r>
        <w:t xml:space="preserve"> с пониженными процентными ставками для разных категорий предпринимателей.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Основные негативные факторы, влияющие на развитие малого и среднего предпринимательства в области, - это недостаток собственных финансовых ресурсов для развития предпринимательской деятельности, дефицит квалифицированных кадров и недостаточный уровень их профессиональной подготовки, отток трудоспособного населения из области, снижение доходов населения, сдерживающее покупательскую способность (платежеспособный спрос) и, как следствие, отражающееся на предпринимательской активности, кризисные явления в экономике, изменения на внутренних и внешних рынках, которые приводят к опасениям населения в отношении ведения индивидуального предпринимательства и к риску сокращения действующих хозяйствующих субъектов, низкая конкурентоспособность субъектов предпринимательства в приоритетных отраслях экономики.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Основные направления развития в сфере малого и среднего предпринимательства: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увеличение вклада бизнеса в валовой внутренний продукт области с учетом развития экспорта малого и среднего предпринимательства;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наращивание численности занятых в сфере предпринимательства;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lastRenderedPageBreak/>
        <w:t>стимулирование развития малого и среднего предпринимательства приоритетных отраслей экономики: обрабатывающей промышленности, ИТ, туризма, технологических компаний.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3"/>
      </w:pPr>
      <w:r>
        <w:t>Развитие внешнеэкономических и межрегиональных связей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Область расположена на пересечении транспортных и торговых путей из Европы и Азии. Область выступает в качестве одной из ключевых для России территорий с точки зрения сотрудничества со странами Азиатско-Тихоокеанского региона: Китайской Народной Республикой, Республикой Корея, Японией и Монголией.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Внешнеторговый оборот области в 2021 году составил 10,5 млрд. долларов США и увеличился по сравнению с 2020 годом на 44,6%. Доля экспорта в общей структуре составляет 79,8%, импорта - 20,2%.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Торговля со странами дальнего зарубежья обеспечивает 93,1% стоимостного объема товарооборота, со странами СНГ - 6,9% (в 2020 году - 91,5% и 8,5% соответственно).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Экспорт продукции области в 2021 году составил 146,5% к уровню 2020 года.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Основу экспорта области формируют топливно-энергетические товары - 43,8%, металлы и изделия из них - 26,7%, продукция из древесины - 26,5%, продукция химической промышленности - 1,5%, машины и оборудование - 0,7%, продовольственные товары и сырье - 0,4%, товары народного потребления - 0,3%.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Наибольший рост объема экспортных поставок в 2022 году произошел по группе топливно-энергетических товаров, в основном за счет увеличения поставок нефти сырой, угля каменного, в том числе битуминозного, а также нефтепродуктов. Кроме того, увеличение произошло по группе товаров химической промышленности. Увеличились поставки полимера этилена, удобрений минеральных, неорганической химии, поливинилхлорида.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Ведущими партнерами области в экспортной торговле остаются государства Азиатско-Тихоокеанского региона (Китайская Народная Республика, Республика Корея, Япония, Монголия, Индия). Существенная доля экспортных операций с указанными странами приходится на Китай - более половины объема экспортируемой областью продукции в зарубежные страны.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Импортные поставки в область в 2019 - 2021 годах осуществлялись из стран дальнего зарубежья и СНГ. За последние 3 года объем импортных поставок из стран дальнего зарубежья увеличился с 68,7% до 75,5%, а из стран СНГ сократился с 31,3% до 24,5%.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Импорт зарубежных товаров в область в 2021 году составляет 137,4% к уровню 2020 года.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Товарная номенклатура импорта представлена такими товарными группами, как продукты химической промышленности - 58,0%, машины и оборудование - 29,9%, металлы и изделия из них - 3,5%, нефтехимические продукты - 3,2%, продукты питания - 2,5%, товары народного потребления - 0,7%.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Наибольшее сокращение в 2022 году произошло в импорте товаров машиностроительного комплекса, а также металлов и изделий из них. Кроме того, сократились поставки цианидов, оксидов натрия, а также кокса, битума нефтяного. Основной рост поставок в 2022 году произошел по прочим товарам, нефтехимическим товарам, сырью для алюминиевой продукции, а также фармацевтики. Кроме того, увеличились импортные поставки продуктов питания, а также одежды, обуви.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 условиях нестабильности, вызванной как "</w:t>
      </w:r>
      <w:proofErr w:type="spellStart"/>
      <w:r>
        <w:t>ковидными</w:t>
      </w:r>
      <w:proofErr w:type="spellEnd"/>
      <w:r>
        <w:t>" и "</w:t>
      </w:r>
      <w:proofErr w:type="spellStart"/>
      <w:r>
        <w:t>постковидными</w:t>
      </w:r>
      <w:proofErr w:type="spellEnd"/>
      <w:r>
        <w:t xml:space="preserve">" ограничениями, так и беспрецедентным </w:t>
      </w:r>
      <w:proofErr w:type="spellStart"/>
      <w:r>
        <w:t>санкционным</w:t>
      </w:r>
      <w:proofErr w:type="spellEnd"/>
      <w:r>
        <w:t xml:space="preserve"> давлением на экономические процессы в Российской Федерации, во многом в части торгово-экономического сотрудничества с зарубежными странами, </w:t>
      </w:r>
      <w:r>
        <w:lastRenderedPageBreak/>
        <w:t xml:space="preserve">Правительство Иркутской области использует превентивные и институциональные меры поддержки, в том числе направленные на стабилизацию и развитие сектора </w:t>
      </w:r>
      <w:proofErr w:type="spellStart"/>
      <w:r>
        <w:t>несырьевого</w:t>
      </w:r>
      <w:proofErr w:type="spellEnd"/>
      <w:r>
        <w:t xml:space="preserve"> неэнергетического экспорта (далее - ННЭ). Среди предпринимаемых мер: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внедрение инструментов Регионального экспортного стандарта 2.0 (далее - Стандарт), которые направлены на развитие экспорта, в том числе ННЭ, в субъектах Российской Федерации (по итогам 2021 и 2022 годов в регионе внедрены все инструменты Стандарта);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разработка программы развития экспорта региона до 2030 года;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создание рабочей группы "Экспортный десант" как инициативного инструмента по вовлечению новых компаний области в экспортную деятельность, оказанию предприятиям региона консультационно-методической поддержки по вопросам развития производственной, экспортной и инвестиционной деятельности;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создание Экспортного совета при Губернаторе Иркутской области, а также рабочей группы по отраслевым направлениям с внедрением практики проведения выездных заседаний на базе областных предприятий;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разработка министерством сельского хозяйства Иркутской области совместно с Союзом "Торгово-промышленная палата Восточной Сибири (Иркутская область)" международного бренда (товарного знака) "</w:t>
      </w:r>
      <w:proofErr w:type="spellStart"/>
      <w:r>
        <w:t>BaikalNatural</w:t>
      </w:r>
      <w:proofErr w:type="spellEnd"/>
      <w:r>
        <w:t>", запатентованного в Российской Федерации, Монголии, КНР;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реализация совместно с </w:t>
      </w:r>
      <w:proofErr w:type="spellStart"/>
      <w:r>
        <w:t>Минпромторгом</w:t>
      </w:r>
      <w:proofErr w:type="spellEnd"/>
      <w:r>
        <w:t xml:space="preserve"> России проекта "Экспортный акселератор" и работа по продвижению средних </w:t>
      </w:r>
      <w:proofErr w:type="spellStart"/>
      <w:r>
        <w:t>экспортно</w:t>
      </w:r>
      <w:proofErr w:type="spellEnd"/>
      <w:r>
        <w:t xml:space="preserve"> ориентированных субъектов предпринимательской деятельности на зарубежные рынки.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3"/>
      </w:pPr>
      <w:r>
        <w:t>Развитие промышленности и инновационной сферы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Область как крупный промышленный центр является "драйвером" развития Дальнего Востока и Байкальского региона, выполняя транзитную и связующую функции для западных и восточных частей страны. В области наблюдается промышленный рост - по итогам 2022 года индекс промышленного производства (в процентах к предыдущему году) составил 102,5%, 2021 года - 102,8%, 2020 года - 102,2%.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Сегодня область лидирует в лесопромышленном комплексе России, гидроэнергетике, производстве алюминия, полимеров, нефтепродуктов, добыче золота, обладает значительными запасами минеральных, гидроэнергетических и лесных ресурсов. С 2012 года благодаря эффективным мерам федеральной поддержки в области сформировалась новая отрасль промышленности - нефтедобыча, активно развивается фармацевтическая отрасль, ориентированная не только на выпуск готовых лекарств, но и на производство активных фармацевтических субстанций. В перспективе планируется продолжить развитие еще одной отрасли промышленности - </w:t>
      </w:r>
      <w:proofErr w:type="spellStart"/>
      <w:r>
        <w:t>газохимии</w:t>
      </w:r>
      <w:proofErr w:type="spellEnd"/>
      <w:r>
        <w:t>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На территории области в промышленном производстве осуществляют деятельность более 3,7 тысячи организаций, на которых работает более 170 тыс. человек. По итогам 2022 года объем отгруженной промышленной продукции, выполненных работ, услуг составил 1 861,6 млрд. рублей (112,9% к 2021 году).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Основными сдерживающими факторами развития промышленности области являются: ограниченная пропускная способность Восточного полигона РЖД; диспропорция в обеспечении электроэнергией, отсутствие электроснабжения в удаленных северных районах; изменение рынков сбыта, логистических цепочек, доступности технологий, систем международных расчетов в связи с введенными санкциями; высокая степень износа основных фондов промышленности; низкий уровень загруженности промышленных предприятий; дефицит кадров.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lastRenderedPageBreak/>
        <w:t>Учитывая значительный промышленный потенциал области, целью региональной промышленной политики является формирование конкурентоспособной промышленности, обеспечивающей переход экономики от экспортно-сырьевого к инновационному типу развития.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Задачами промышленной политики являются: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проведение технической модернизации (реконструкции) имеющихся и строительство новых производственных мощностей в перспективных секторах промышленности области с акцентом на производство высокотехнологичной и конкурентоспособной продукции и получение максимальной добавленной стоимости;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внедрение </w:t>
      </w:r>
      <w:proofErr w:type="spellStart"/>
      <w:r>
        <w:t>ресурсо</w:t>
      </w:r>
      <w:proofErr w:type="spellEnd"/>
      <w:r>
        <w:t xml:space="preserve">- и </w:t>
      </w:r>
      <w:proofErr w:type="spellStart"/>
      <w:r>
        <w:t>энергоэффективных</w:t>
      </w:r>
      <w:proofErr w:type="spellEnd"/>
      <w:r>
        <w:t xml:space="preserve"> производств с использованием наилучших доступных технологий;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осуществление системного перехода промышленности в режим инновационного развития на основе передовых технологических укладов;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совершенствование кадровой политики, направленной на закрепление специалистов на территориях, подготовку, повышение квалификации, целевое обучение профессиональных кадров и обеспечение ими предприятий индустриальных отраслей промышленности, внедрение профессиональных стандартов и дуального обучения.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 области сосредоточена развитая научная и инновационная инфраструктура. В сфере науки работают 11 академиков и восемь членов-корреспондентов РАН, около 1 200 докторов и кандидатов наук.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Для развития научной, научно-технической и инновационной деятельности создана необходимая правовая база - с 2004 года действует </w:t>
      </w:r>
      <w:hyperlink r:id="rId97">
        <w:r>
          <w:rPr>
            <w:color w:val="0000FF"/>
          </w:rPr>
          <w:t>Закон</w:t>
        </w:r>
      </w:hyperlink>
      <w:r>
        <w:t xml:space="preserve"> Иркутской области от 5 мая 2004 года N 21-оз "Об областной государственной поддержке научной, научно-технической и инновационной деятельности". В целях повышения качества взаимодействия с научно-образовательным комплексом, расположенным на территории области, с 2015 года работает Координационный научный совет при Губернаторе Иркутской области, в 2020 году создан Совет молодых ученых и специалистов при Губернаторе Иркутской области.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Для адресной поддержки направлений, представляющих интерес для области, область ежегодно на условиях паритета финансирует проекты фундаментальных исследований совместно с федеральным государственным бюджетным учреждением "Российский научный фонд", ежегодно формируется государственный заказ на выполнение научно-исследовательских, опытно-конструкторских и технологических работ.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В целях координации деятельности коммерческих, научных и образовательных организаций, государственных органов при реализации научно-исследовательских проектов, борьбы с существующими угрозами путем реализации инновационных проектов, вовлечения бизнеса в образовательный процесс, обеспечения экономики квалифицированными кадрами создан межрегиональный научно-образовательный центр мирового уровня "Байкал" (далее - НОЦ "Байкал").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НОЦ "Байкал" включен в перечень победителей 2021 года по итогам конкурсного отбора </w:t>
      </w:r>
      <w:proofErr w:type="spellStart"/>
      <w:r>
        <w:t>Минобрнауки</w:t>
      </w:r>
      <w:proofErr w:type="spellEnd"/>
      <w:r>
        <w:t xml:space="preserve"> России и с 2022 года получает федеральную государственную поддержку. На базе НОЦ "Байкал" реализуются восемь технологических проектов для разработки не менее 34 конкурентоспособных технологий и высокотехнологичной продукции в целях внедрения в реальный сектор экономики. Для коммерциализации результатов интеллектуальной деятельности в 2021 - 2022 годах зарегистрировано 69 патентов на изобретения, число планируемых к регистрации патентов составляет не менее 100.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Для сохранения и развития имеющегося научного потенциала области необходимо </w:t>
      </w:r>
      <w:r>
        <w:lastRenderedPageBreak/>
        <w:t>преодоление негативных тенденций по прекращению оттока научных кадров из области и принятие мер для увеличения отгруженной инновационной продукции путем решения следующих задач: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создание новых и развитие действующих мер поддержки фундаментальной и прикладной науки как системообразующего института стратегического развития области;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привлечение </w:t>
      </w:r>
      <w:proofErr w:type="spellStart"/>
      <w:r>
        <w:t>грантовой</w:t>
      </w:r>
      <w:proofErr w:type="spellEnd"/>
      <w:r>
        <w:t xml:space="preserve"> поддержки в рамках всероссийских конкурсов инновационных и научных проектов и федеральных программ.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2"/>
      </w:pPr>
      <w:r>
        <w:t>Глава 3. ЗАДАЧИ ГОСУДАРСТВЕННОГО УПРАВЛЕНИЯ, СПОСОБЫ ИХ</w:t>
      </w:r>
    </w:p>
    <w:p w:rsidR="00DE0E08" w:rsidRDefault="00DE0E08">
      <w:pPr>
        <w:pStyle w:val="ConsPlusTitle"/>
        <w:jc w:val="center"/>
      </w:pPr>
      <w:r>
        <w:t>ЭФФЕКТИВНОГО РЕШЕНИЯ</w:t>
      </w:r>
    </w:p>
    <w:p w:rsidR="00DE0E08" w:rsidRDefault="00DE0E08">
      <w:pPr>
        <w:pStyle w:val="ConsPlusNormal"/>
        <w:jc w:val="center"/>
      </w:pPr>
    </w:p>
    <w:p w:rsidR="00DE0E08" w:rsidRDefault="00DE0E08">
      <w:pPr>
        <w:pStyle w:val="ConsPlusNormal"/>
        <w:jc w:val="center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DE0E08" w:rsidRDefault="00DE0E08">
      <w:pPr>
        <w:pStyle w:val="ConsPlusNormal"/>
        <w:jc w:val="center"/>
      </w:pPr>
      <w:r>
        <w:t>от 30.01.2025 N 74-пп)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>Реализация задач в сфере государственной программы осуществляется путем проведения (осуществления) конкретных мероприятий (результатов), входящих в состав структурных элементов (региональных проектов, ведомственных проектов, комплексов процессных мероприятий), включенных в систему документов государственной программы.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1"/>
      </w:pPr>
      <w:r>
        <w:t>Раздел II. ПАСПОРТ ГОСУДАРСТВЕННОЙ ПРОГРАММЫ ИРКУТСКОЙ</w:t>
      </w:r>
    </w:p>
    <w:p w:rsidR="00DE0E08" w:rsidRDefault="00DE0E08">
      <w:pPr>
        <w:pStyle w:val="ConsPlusTitle"/>
        <w:jc w:val="center"/>
      </w:pPr>
      <w:r>
        <w:t>ОБЛАСТИ "ЭКОНОМИЧЕСКОЕ РАЗВИТИЕ И ИННОВАЦИОННАЯ ЭКОНОМИКА"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 xml:space="preserve">Утратил силу. - </w:t>
      </w:r>
      <w:hyperlink r:id="rId9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30.01.2025 N 74-пп.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1"/>
      </w:pPr>
      <w:r>
        <w:t>Раздел II. ПРАВИЛА (ПОРЯДОК) ПРЕДОСТАВЛЕНИЯ МЕЖБЮДЖЕТНЫХ</w:t>
      </w:r>
    </w:p>
    <w:p w:rsidR="00DE0E08" w:rsidRDefault="00DE0E08">
      <w:pPr>
        <w:pStyle w:val="ConsPlusTitle"/>
        <w:jc w:val="center"/>
      </w:pPr>
      <w:r>
        <w:t>ТРАНСФЕРТОВ ИЗ ОБЛАСТНОГО БЮДЖЕТА МЕСТНЫМ БЮДЖЕТАМ</w:t>
      </w:r>
    </w:p>
    <w:p w:rsidR="00DE0E08" w:rsidRDefault="00DE0E08">
      <w:pPr>
        <w:pStyle w:val="ConsPlusNormal"/>
        <w:jc w:val="center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DE0E08" w:rsidRDefault="00DE0E08">
      <w:pPr>
        <w:pStyle w:val="ConsPlusNormal"/>
        <w:jc w:val="center"/>
      </w:pPr>
      <w:r>
        <w:t>от 30.01.2025 N 74-пп)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 xml:space="preserve">Данный раздел не содержит правила предоставления межбюджетных трансфертов местным бюджетам в соответствии с </w:t>
      </w:r>
      <w:hyperlink r:id="rId101">
        <w:r>
          <w:rPr>
            <w:color w:val="0000FF"/>
          </w:rPr>
          <w:t>пунктом 4 статьи 179</w:t>
        </w:r>
      </w:hyperlink>
      <w:r>
        <w:t xml:space="preserve"> Бюджетного кодекса Российской Федерации.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1"/>
      </w:pPr>
      <w:r>
        <w:t xml:space="preserve">Раздел </w:t>
      </w:r>
      <w:hyperlink r:id="rId102">
        <w:r>
          <w:rPr>
            <w:color w:val="0000FF"/>
          </w:rPr>
          <w:t>III</w:t>
        </w:r>
      </w:hyperlink>
      <w:r>
        <w:t>. ИНЫЕ ПОЛОЖЕНИЯ</w:t>
      </w:r>
    </w:p>
    <w:p w:rsidR="00DE0E08" w:rsidRDefault="00DE0E08">
      <w:pPr>
        <w:pStyle w:val="ConsPlusNormal"/>
        <w:jc w:val="center"/>
      </w:pPr>
    </w:p>
    <w:p w:rsidR="00DE0E08" w:rsidRDefault="00DE0E08">
      <w:pPr>
        <w:pStyle w:val="ConsPlusNormal"/>
        <w:jc w:val="center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DE0E08" w:rsidRDefault="00DE0E08">
      <w:pPr>
        <w:pStyle w:val="ConsPlusNormal"/>
        <w:jc w:val="center"/>
      </w:pPr>
      <w:r>
        <w:t>от 29.02.2024 N 144-пп)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Title"/>
        <w:jc w:val="center"/>
        <w:outlineLvl w:val="2"/>
      </w:pPr>
      <w:r>
        <w:t>МЕРЫ ГОСУДАРСТВЕННОГО РЕГУЛИРОВАНИЯ, НАПРАВЛЕННЫЕ</w:t>
      </w:r>
    </w:p>
    <w:p w:rsidR="00DE0E08" w:rsidRDefault="00DE0E08">
      <w:pPr>
        <w:pStyle w:val="ConsPlusTitle"/>
        <w:jc w:val="center"/>
      </w:pPr>
      <w:r>
        <w:t>НА ДОСТИЖЕНИЕ ЦЕЛЕЙ ГОСУДАРСТВЕННОЙ ПРОГРАММЫ ИРКУТСКОЙ</w:t>
      </w:r>
    </w:p>
    <w:p w:rsidR="00DE0E08" w:rsidRDefault="00DE0E08">
      <w:pPr>
        <w:pStyle w:val="ConsPlusTitle"/>
        <w:jc w:val="center"/>
      </w:pPr>
      <w:r>
        <w:t>ОБЛАСТИ "ЭКОНОМИЧЕСКОЕ РАЗВИТИЕ И ИННОВАЦИОННАЯ ЭКОНОМИКА"</w:t>
      </w:r>
    </w:p>
    <w:p w:rsidR="00DE0E08" w:rsidRDefault="00DE0E08">
      <w:pPr>
        <w:pStyle w:val="ConsPlusTitle"/>
        <w:jc w:val="center"/>
      </w:pPr>
      <w:r>
        <w:t>И ЗАДАЧ ЕЕ СТРУКТУРНЫХ ЭЛЕМЕНТОВ И ОТДЕЛЬНЫХ МЕРОПРИЯТИЙ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ind w:firstLine="540"/>
        <w:jc w:val="both"/>
      </w:pPr>
      <w:r>
        <w:t xml:space="preserve">Одной из мер государственного регулирования, направленной на достижение целей государственной программы и задач ее структурных элементов и отдельных мероприятий, является мероприятие, направленное на поддержку субъектов малого и среднего предпринимательства (далее - СМСП) в соответствии с </w:t>
      </w:r>
      <w:hyperlink r:id="rId104">
        <w:r>
          <w:rPr>
            <w:color w:val="0000FF"/>
          </w:rPr>
          <w:t>Законом</w:t>
        </w:r>
      </w:hyperlink>
      <w:r>
        <w:t xml:space="preserve"> Иркутской области от 4 мая 2022 года N 27-ОЗ "Об отдельных вопросах размещения нестационарных торговых объектов на территории Иркутской области" в виде заключения договоров на размещение нестационарных торговых объектов на территории Иркутской области без проведения торгов (далее соответственно - мера поддержки, НТО), в соответствии с Федеральным </w:t>
      </w:r>
      <w:hyperlink r:id="rId105">
        <w:r>
          <w:rPr>
            <w:color w:val="0000FF"/>
          </w:rPr>
          <w:t>законом</w:t>
        </w:r>
      </w:hyperlink>
      <w:r>
        <w:t xml:space="preserve"> от 26 июля 2006 года N 135-ФЗ "О защите конкуренции", Федеральным </w:t>
      </w:r>
      <w:hyperlink r:id="rId106">
        <w:r>
          <w:rPr>
            <w:color w:val="0000FF"/>
          </w:rPr>
          <w:t>законом</w:t>
        </w:r>
      </w:hyperlink>
      <w:r>
        <w:t xml:space="preserve"> от 24 июля 2007 года N 209-ФЗ "О развитии малого и среднего предпринимательства в Российской Федерации".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lastRenderedPageBreak/>
        <w:t xml:space="preserve">В последние годы количество НТО, в которых осуществляется реализация печатной продукции (далее - </w:t>
      </w:r>
      <w:proofErr w:type="spellStart"/>
      <w:r>
        <w:t>газетно</w:t>
      </w:r>
      <w:proofErr w:type="spellEnd"/>
      <w:r>
        <w:t xml:space="preserve">-журнальные киоски), на территории Иркутской области сокращается (по данным статистики на 1 января 2019 года количество НТО составляло 232 единицы, на 1 января 2024 года - 165 единиц). Таким образом, количество </w:t>
      </w:r>
      <w:proofErr w:type="spellStart"/>
      <w:r>
        <w:t>газетно</w:t>
      </w:r>
      <w:proofErr w:type="spellEnd"/>
      <w:r>
        <w:t>-журнальных киосков на территории Иркутской области за 5 лет сократилось на 28,9%.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Сокращение количества </w:t>
      </w:r>
      <w:proofErr w:type="spellStart"/>
      <w:r>
        <w:t>газетно</w:t>
      </w:r>
      <w:proofErr w:type="spellEnd"/>
      <w:r>
        <w:t xml:space="preserve">-журнальных киосков в Иркутской области обусловлено объективными социально-экономическими причинами. Снижение спроса населения на печатную продукцию за счет активного развития интернет-изданий и увеличение расходов по содержанию </w:t>
      </w:r>
      <w:proofErr w:type="spellStart"/>
      <w:r>
        <w:t>газетно</w:t>
      </w:r>
      <w:proofErr w:type="spellEnd"/>
      <w:r>
        <w:t xml:space="preserve">-журнальных киосков (рост тарифов на электроэнергию, охрану и др.) ведут к нерентабельности </w:t>
      </w:r>
      <w:proofErr w:type="spellStart"/>
      <w:r>
        <w:t>газетно</w:t>
      </w:r>
      <w:proofErr w:type="spellEnd"/>
      <w:r>
        <w:t>-журнальных киосков и снижению предпринимательской активности в данной отрасли.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Обеспечение совершенствования мер по развитию сети НТО, в которых осуществляется продажа печатной продукции, а также обеспечение совершенствования указанных мер предусмотрено </w:t>
      </w:r>
      <w:hyperlink r:id="rId107">
        <w:r>
          <w:rPr>
            <w:color w:val="0000FF"/>
          </w:rPr>
          <w:t>поручением</w:t>
        </w:r>
      </w:hyperlink>
      <w:r>
        <w:t xml:space="preserve"> Президента Российской Федерации </w:t>
      </w:r>
      <w:proofErr w:type="spellStart"/>
      <w:r>
        <w:t>В.В.Путина</w:t>
      </w:r>
      <w:proofErr w:type="spellEnd"/>
      <w:r>
        <w:t xml:space="preserve"> от 25 сентября 2019 года N Пр-1983.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Участие в торгах за право на предоставление земельного участка под размещение НТО несет определенную финансовую нагрузку, на которую не всегда готовы производители сельскохозяйственной продукции и продовольственных товаров, особенно с небольшими объемами производства.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Размещение НТО позволяет частично компенсировать отсутствие ярмарочных площадок во внутригородских кварталах и на придомовых территориях и обеспечить доступность продукции местных </w:t>
      </w:r>
      <w:proofErr w:type="spellStart"/>
      <w:r>
        <w:t>сельхозтоваропроизводителей</w:t>
      </w:r>
      <w:proofErr w:type="spellEnd"/>
      <w:r>
        <w:t xml:space="preserve"> для более широкого круга потребителей, наладить дополнительные каналы сбыта продукции для товаропроизводителей из разных районов Иркутской области, положительно сказывается на товарном насыщении потребительского рынка Иркутской области.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Оказание содействия в получении юридическими и физическими лицами необходимого количества мест размещения НТО, продлении договоров на размещение НТО и объектов для осуществления развозной торговли без проведения торгов, в обеспечении максимальной доступности торговых объектов для населения, в увеличении ассортимента и разнообразия товаров, предлагаемых к реализации юридическими и физическими лицами, предусмотрено </w:t>
      </w:r>
      <w:hyperlink r:id="rId108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30 января 2021 года N 208-р.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Также важность предоставления производителям (сельскохозяйственных и продовольственных товаров, в том числе фермерской продукции, текстиля, одежды, обуви и прочих) муниципальных преференций в виде предоставления мест для размещения нестационарных и мобильных торговых объектов без проведения торгов (конкурсов, аукционов) на льготных условиях или на безвозмездной основе отражена Министерством промышленности и торговли Российской Федерации, Федеральной антимонопольной службой в </w:t>
      </w:r>
      <w:hyperlink r:id="rId109">
        <w:r>
          <w:rPr>
            <w:color w:val="0000FF"/>
          </w:rPr>
          <w:t>письме</w:t>
        </w:r>
      </w:hyperlink>
      <w:r>
        <w:t xml:space="preserve"> от 23 июня 2020 года N ЕВ-43474/15/АД/52718/20 "О предоставлении муниципальных преференций производителям товаров при организации нестационарной и мобильной торговли".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В целях </w:t>
      </w:r>
      <w:proofErr w:type="gramStart"/>
      <w:r>
        <w:t>активизации деятельности</w:t>
      </w:r>
      <w:proofErr w:type="gramEnd"/>
      <w:r>
        <w:t xml:space="preserve"> специализированных НТО, обеспечения продовольственной безопасности, стимулирования предпринимательской активности и </w:t>
      </w:r>
      <w:proofErr w:type="spellStart"/>
      <w:r>
        <w:t>самозанятости</w:t>
      </w:r>
      <w:proofErr w:type="spellEnd"/>
      <w:r>
        <w:t xml:space="preserve"> граждан, расширения возможностей сбыта продукции отечественных производителей товаров, увеличения доходов и роста благосостояния граждан необходимо принятие дополнительных мер поддержки следующим категориям СМСП (далее - отдельные категории):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1) сельскохозяйственным товаропроизводителям, осуществляющим свою деятельность на территории Иркутской области, соответствующим положениям Федерального </w:t>
      </w:r>
      <w:hyperlink r:id="rId110">
        <w:r>
          <w:rPr>
            <w:color w:val="0000FF"/>
          </w:rPr>
          <w:t>закона</w:t>
        </w:r>
      </w:hyperlink>
      <w:r>
        <w:t xml:space="preserve"> от 29 декабря </w:t>
      </w:r>
      <w:r>
        <w:lastRenderedPageBreak/>
        <w:t>2006 года N 264-ФЗ "О развитии сельского хозяйства":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имеющим выручку от реализации товаров (работ, услуг) без учета налога на добавленную стоимость за предыдущий год в размере менее 800 млн. рублей (для сельскохозяйственных товаропроизводителей, сельскохозяйственных потребительских кооперативов, относящихся к малым формам хозяйствования);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имеющим выручку от реализации товаров (работ, услуг) без учета налога на добавленную стоимость за предыдущий год в размере от 800 млн. рублей (включительно) до 2 млрд. рублей (для сельскохозяйственных товаропроизводителей, сельскохозяйственных потребительских кооперативов, относящихся к средним формам хозяйствования);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 xml:space="preserve">2) товаропроизводителям - юридическим лицам, индивидуальным предпринимателям, осуществляющим производство продовольственных товаров, имеющим за предыдущий год не менее 70 процентов дохода от реализации продовольственных товаров, произведенных ими в результате осуществления вида экономической деятельности, включенного в класс 10 "Производство пищевых продуктов" раздела С "Обрабатывающие производства" Общероссийского </w:t>
      </w:r>
      <w:hyperlink r:id="rId111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ОК 029-2014 (КДЕС РЕД. 2);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3) юридическому лицу, индивидуальному предпринимателю, реализующим печатную продукцию, основным или дополнительным видом экономической деятельности которых является торговля розничная газетами и канцелярскими товарами в специализированных магазинах, соответствующим хотя бы одному из требований: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заключен договор (договоры) на поставку периодических печатных изданий с издательствами периодических печатных изданий (газет, журналов) и (или) организациями, осуществляющими поставку такой продукции, на срок не менее одного года;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доля продажи газет и журналов в товарообороте юридического лица, индивидуального предпринимателя за календарный год, предшествующий году обращения за мерой поддержки, составляет не менее 50 процентов товарооборота.</w:t>
      </w:r>
    </w:p>
    <w:p w:rsidR="00DE0E08" w:rsidRDefault="00DE0E08">
      <w:pPr>
        <w:pStyle w:val="ConsPlusNormal"/>
        <w:spacing w:before="220"/>
        <w:ind w:firstLine="540"/>
        <w:jc w:val="both"/>
      </w:pPr>
      <w:r>
        <w:t>Подтверждение соответствия СМСП отдельной категории и предоставление мер поддержки осуществляется в порядке, определенном органом, уполномоченным на заключение договоров на размещение НТО на землях и земельных участках, находящихся в государственной собственности Иркутской области.</w:t>
      </w: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jc w:val="both"/>
      </w:pPr>
    </w:p>
    <w:p w:rsidR="00DE0E08" w:rsidRDefault="00DE0E0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49FA" w:rsidRDefault="00A149FA"/>
    <w:sectPr w:rsidR="00A149FA" w:rsidSect="00D70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08"/>
    <w:rsid w:val="00A149FA"/>
    <w:rsid w:val="00DE0E08"/>
    <w:rsid w:val="00F4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207D2-14E4-4847-88F2-EC2C8327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0E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411&amp;n=163537" TargetMode="External"/><Relationship Id="rId21" Type="http://schemas.openxmlformats.org/officeDocument/2006/relationships/hyperlink" Target="https://login.consultant.ru/link/?req=doc&amp;base=RLAW411&amp;n=156913" TargetMode="External"/><Relationship Id="rId42" Type="http://schemas.openxmlformats.org/officeDocument/2006/relationships/hyperlink" Target="https://login.consultant.ru/link/?req=doc&amp;base=RLAW411&amp;n=178261" TargetMode="External"/><Relationship Id="rId47" Type="http://schemas.openxmlformats.org/officeDocument/2006/relationships/hyperlink" Target="https://login.consultant.ru/link/?req=doc&amp;base=RLAW411&amp;n=185201" TargetMode="External"/><Relationship Id="rId63" Type="http://schemas.openxmlformats.org/officeDocument/2006/relationships/hyperlink" Target="https://login.consultant.ru/link/?req=doc&amp;base=RLAW411&amp;n=199490" TargetMode="External"/><Relationship Id="rId68" Type="http://schemas.openxmlformats.org/officeDocument/2006/relationships/hyperlink" Target="https://login.consultant.ru/link/?req=doc&amp;base=RLAW411&amp;n=204221" TargetMode="External"/><Relationship Id="rId84" Type="http://schemas.openxmlformats.org/officeDocument/2006/relationships/hyperlink" Target="https://login.consultant.ru/link/?req=doc&amp;base=LAW&amp;n=358026&amp;dst=100219" TargetMode="External"/><Relationship Id="rId89" Type="http://schemas.openxmlformats.org/officeDocument/2006/relationships/hyperlink" Target="https://login.consultant.ru/link/?req=doc&amp;base=LAW&amp;n=505483&amp;dst=9854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RLAW411&amp;n=223586&amp;dst=100109" TargetMode="External"/><Relationship Id="rId107" Type="http://schemas.openxmlformats.org/officeDocument/2006/relationships/hyperlink" Target="https://login.consultant.ru/link/?req=doc&amp;base=LAW&amp;n=334172" TargetMode="External"/><Relationship Id="rId11" Type="http://schemas.openxmlformats.org/officeDocument/2006/relationships/hyperlink" Target="https://login.consultant.ru/link/?req=doc&amp;base=RLAW411&amp;n=216337&amp;dst=100005" TargetMode="External"/><Relationship Id="rId32" Type="http://schemas.openxmlformats.org/officeDocument/2006/relationships/hyperlink" Target="https://login.consultant.ru/link/?req=doc&amp;base=RLAW411&amp;n=165945" TargetMode="External"/><Relationship Id="rId37" Type="http://schemas.openxmlformats.org/officeDocument/2006/relationships/hyperlink" Target="https://login.consultant.ru/link/?req=doc&amp;base=RLAW411&amp;n=173406" TargetMode="External"/><Relationship Id="rId53" Type="http://schemas.openxmlformats.org/officeDocument/2006/relationships/hyperlink" Target="https://login.consultant.ru/link/?req=doc&amp;base=RLAW411&amp;n=189003" TargetMode="External"/><Relationship Id="rId58" Type="http://schemas.openxmlformats.org/officeDocument/2006/relationships/hyperlink" Target="https://login.consultant.ru/link/?req=doc&amp;base=RLAW411&amp;n=192957" TargetMode="External"/><Relationship Id="rId74" Type="http://schemas.openxmlformats.org/officeDocument/2006/relationships/hyperlink" Target="https://login.consultant.ru/link/?req=doc&amp;base=RLAW411&amp;n=209936&amp;dst=100005" TargetMode="External"/><Relationship Id="rId79" Type="http://schemas.openxmlformats.org/officeDocument/2006/relationships/hyperlink" Target="https://login.consultant.ru/link/?req=doc&amp;base=RLAW411&amp;n=215059&amp;dst=100005" TargetMode="External"/><Relationship Id="rId102" Type="http://schemas.openxmlformats.org/officeDocument/2006/relationships/hyperlink" Target="https://login.consultant.ru/link/?req=doc&amp;base=RLAW411&amp;n=218502&amp;dst=100014" TargetMode="External"/><Relationship Id="rId5" Type="http://schemas.openxmlformats.org/officeDocument/2006/relationships/hyperlink" Target="https://login.consultant.ru/link/?req=doc&amp;base=RLAW411&amp;n=209936&amp;dst=100005" TargetMode="External"/><Relationship Id="rId90" Type="http://schemas.openxmlformats.org/officeDocument/2006/relationships/hyperlink" Target="https://login.consultant.ru/link/?req=doc&amp;base=RLAW411&amp;n=216145" TargetMode="External"/><Relationship Id="rId95" Type="http://schemas.openxmlformats.org/officeDocument/2006/relationships/hyperlink" Target="https://login.consultant.ru/link/?req=doc&amp;base=RLAW411&amp;n=213519&amp;dst=100015" TargetMode="External"/><Relationship Id="rId22" Type="http://schemas.openxmlformats.org/officeDocument/2006/relationships/hyperlink" Target="https://login.consultant.ru/link/?req=doc&amp;base=RLAW411&amp;n=156874" TargetMode="External"/><Relationship Id="rId27" Type="http://schemas.openxmlformats.org/officeDocument/2006/relationships/hyperlink" Target="https://login.consultant.ru/link/?req=doc&amp;base=RLAW411&amp;n=164007" TargetMode="External"/><Relationship Id="rId43" Type="http://schemas.openxmlformats.org/officeDocument/2006/relationships/hyperlink" Target="https://login.consultant.ru/link/?req=doc&amp;base=RLAW411&amp;n=179728" TargetMode="External"/><Relationship Id="rId48" Type="http://schemas.openxmlformats.org/officeDocument/2006/relationships/hyperlink" Target="https://login.consultant.ru/link/?req=doc&amp;base=RLAW411&amp;n=186038" TargetMode="External"/><Relationship Id="rId64" Type="http://schemas.openxmlformats.org/officeDocument/2006/relationships/hyperlink" Target="https://login.consultant.ru/link/?req=doc&amp;base=RLAW411&amp;n=201254" TargetMode="External"/><Relationship Id="rId69" Type="http://schemas.openxmlformats.org/officeDocument/2006/relationships/hyperlink" Target="https://login.consultant.ru/link/?req=doc&amp;base=RLAW411&amp;n=204225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login.consultant.ru/link/?req=doc&amp;base=RLAW411&amp;n=216337&amp;dst=100005" TargetMode="External"/><Relationship Id="rId85" Type="http://schemas.openxmlformats.org/officeDocument/2006/relationships/hyperlink" Target="https://login.consultant.ru/link/?req=doc&amp;base=LAW&amp;n=475991" TargetMode="External"/><Relationship Id="rId12" Type="http://schemas.openxmlformats.org/officeDocument/2006/relationships/hyperlink" Target="https://login.consultant.ru/link/?req=doc&amp;base=RLAW411&amp;n=217207&amp;dst=100005" TargetMode="External"/><Relationship Id="rId17" Type="http://schemas.openxmlformats.org/officeDocument/2006/relationships/hyperlink" Target="https://login.consultant.ru/link/?req=doc&amp;base=RLAW411&amp;n=226476&amp;dst=101231" TargetMode="External"/><Relationship Id="rId33" Type="http://schemas.openxmlformats.org/officeDocument/2006/relationships/hyperlink" Target="https://login.consultant.ru/link/?req=doc&amp;base=RLAW411&amp;n=167474" TargetMode="External"/><Relationship Id="rId38" Type="http://schemas.openxmlformats.org/officeDocument/2006/relationships/hyperlink" Target="https://login.consultant.ru/link/?req=doc&amp;base=RLAW411&amp;n=173159" TargetMode="External"/><Relationship Id="rId59" Type="http://schemas.openxmlformats.org/officeDocument/2006/relationships/hyperlink" Target="https://login.consultant.ru/link/?req=doc&amp;base=RLAW411&amp;n=193126" TargetMode="External"/><Relationship Id="rId103" Type="http://schemas.openxmlformats.org/officeDocument/2006/relationships/hyperlink" Target="https://login.consultant.ru/link/?req=doc&amp;base=RLAW411&amp;n=209936&amp;dst=100021" TargetMode="External"/><Relationship Id="rId108" Type="http://schemas.openxmlformats.org/officeDocument/2006/relationships/hyperlink" Target="https://login.consultant.ru/link/?req=doc&amp;base=LAW&amp;n=435443" TargetMode="External"/><Relationship Id="rId54" Type="http://schemas.openxmlformats.org/officeDocument/2006/relationships/hyperlink" Target="https://login.consultant.ru/link/?req=doc&amp;base=RLAW411&amp;n=189414" TargetMode="External"/><Relationship Id="rId70" Type="http://schemas.openxmlformats.org/officeDocument/2006/relationships/hyperlink" Target="https://login.consultant.ru/link/?req=doc&amp;base=RLAW411&amp;n=204958" TargetMode="External"/><Relationship Id="rId75" Type="http://schemas.openxmlformats.org/officeDocument/2006/relationships/hyperlink" Target="https://login.consultant.ru/link/?req=doc&amp;base=RLAW411&amp;n=211849&amp;dst=100005" TargetMode="External"/><Relationship Id="rId91" Type="http://schemas.openxmlformats.org/officeDocument/2006/relationships/hyperlink" Target="https://login.consultant.ru/link/?req=doc&amp;base=RLAW411&amp;n=213519&amp;dst=100009" TargetMode="External"/><Relationship Id="rId96" Type="http://schemas.openxmlformats.org/officeDocument/2006/relationships/hyperlink" Target="https://login.consultant.ru/link/?req=doc&amp;base=RLAW411&amp;n=218502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211849&amp;dst=100005" TargetMode="External"/><Relationship Id="rId15" Type="http://schemas.openxmlformats.org/officeDocument/2006/relationships/hyperlink" Target="https://login.consultant.ru/link/?req=doc&amp;base=LAW&amp;n=495710&amp;dst=7419" TargetMode="External"/><Relationship Id="rId23" Type="http://schemas.openxmlformats.org/officeDocument/2006/relationships/hyperlink" Target="https://login.consultant.ru/link/?req=doc&amp;base=RLAW411&amp;n=160248" TargetMode="External"/><Relationship Id="rId28" Type="http://schemas.openxmlformats.org/officeDocument/2006/relationships/hyperlink" Target="https://login.consultant.ru/link/?req=doc&amp;base=RLAW411&amp;n=164180" TargetMode="External"/><Relationship Id="rId36" Type="http://schemas.openxmlformats.org/officeDocument/2006/relationships/hyperlink" Target="https://login.consultant.ru/link/?req=doc&amp;base=RLAW411&amp;n=169563" TargetMode="External"/><Relationship Id="rId49" Type="http://schemas.openxmlformats.org/officeDocument/2006/relationships/hyperlink" Target="https://login.consultant.ru/link/?req=doc&amp;base=RLAW411&amp;n=187097" TargetMode="External"/><Relationship Id="rId57" Type="http://schemas.openxmlformats.org/officeDocument/2006/relationships/hyperlink" Target="https://login.consultant.ru/link/?req=doc&amp;base=RLAW411&amp;n=192648" TargetMode="External"/><Relationship Id="rId106" Type="http://schemas.openxmlformats.org/officeDocument/2006/relationships/hyperlink" Target="https://login.consultant.ru/link/?req=doc&amp;base=LAW&amp;n=507240" TargetMode="External"/><Relationship Id="rId10" Type="http://schemas.openxmlformats.org/officeDocument/2006/relationships/hyperlink" Target="https://login.consultant.ru/link/?req=doc&amp;base=RLAW411&amp;n=215059&amp;dst=100005" TargetMode="External"/><Relationship Id="rId31" Type="http://schemas.openxmlformats.org/officeDocument/2006/relationships/hyperlink" Target="https://login.consultant.ru/link/?req=doc&amp;base=RLAW411&amp;n=165389" TargetMode="External"/><Relationship Id="rId44" Type="http://schemas.openxmlformats.org/officeDocument/2006/relationships/hyperlink" Target="https://login.consultant.ru/link/?req=doc&amp;base=RLAW411&amp;n=181664" TargetMode="External"/><Relationship Id="rId52" Type="http://schemas.openxmlformats.org/officeDocument/2006/relationships/hyperlink" Target="https://login.consultant.ru/link/?req=doc&amp;base=RLAW411&amp;n=187676" TargetMode="External"/><Relationship Id="rId60" Type="http://schemas.openxmlformats.org/officeDocument/2006/relationships/hyperlink" Target="https://login.consultant.ru/link/?req=doc&amp;base=RLAW411&amp;n=195787" TargetMode="External"/><Relationship Id="rId65" Type="http://schemas.openxmlformats.org/officeDocument/2006/relationships/hyperlink" Target="https://login.consultant.ru/link/?req=doc&amp;base=RLAW411&amp;n=201430" TargetMode="External"/><Relationship Id="rId73" Type="http://schemas.openxmlformats.org/officeDocument/2006/relationships/hyperlink" Target="https://login.consultant.ru/link/?req=doc&amp;base=RLAW411&amp;n=208827&amp;dst=100005" TargetMode="External"/><Relationship Id="rId78" Type="http://schemas.openxmlformats.org/officeDocument/2006/relationships/hyperlink" Target="https://login.consultant.ru/link/?req=doc&amp;base=RLAW411&amp;n=214028&amp;dst=100005" TargetMode="External"/><Relationship Id="rId81" Type="http://schemas.openxmlformats.org/officeDocument/2006/relationships/hyperlink" Target="https://login.consultant.ru/link/?req=doc&amp;base=RLAW411&amp;n=217207&amp;dst=100005" TargetMode="External"/><Relationship Id="rId86" Type="http://schemas.openxmlformats.org/officeDocument/2006/relationships/hyperlink" Target="https://login.consultant.ru/link/?req=doc&amp;base=RLAW411&amp;n=213519&amp;dst=100007" TargetMode="External"/><Relationship Id="rId94" Type="http://schemas.openxmlformats.org/officeDocument/2006/relationships/hyperlink" Target="https://login.consultant.ru/link/?req=doc&amp;base=RLAW411&amp;n=213519&amp;dst=100013" TargetMode="External"/><Relationship Id="rId99" Type="http://schemas.openxmlformats.org/officeDocument/2006/relationships/hyperlink" Target="https://login.consultant.ru/link/?req=doc&amp;base=RLAW411&amp;n=218502&amp;dst=100011" TargetMode="External"/><Relationship Id="rId101" Type="http://schemas.openxmlformats.org/officeDocument/2006/relationships/hyperlink" Target="https://login.consultant.ru/link/?req=doc&amp;base=LAW&amp;n=495710&amp;dst=5789" TargetMode="External"/><Relationship Id="rId4" Type="http://schemas.openxmlformats.org/officeDocument/2006/relationships/hyperlink" Target="https://login.consultant.ru/link/?req=doc&amp;base=RLAW411&amp;n=208827&amp;dst=100005" TargetMode="External"/><Relationship Id="rId9" Type="http://schemas.openxmlformats.org/officeDocument/2006/relationships/hyperlink" Target="https://login.consultant.ru/link/?req=doc&amp;base=RLAW411&amp;n=214028&amp;dst=100005" TargetMode="External"/><Relationship Id="rId13" Type="http://schemas.openxmlformats.org/officeDocument/2006/relationships/hyperlink" Target="https://login.consultant.ru/link/?req=doc&amp;base=RLAW411&amp;n=217640&amp;dst=100005" TargetMode="External"/><Relationship Id="rId18" Type="http://schemas.openxmlformats.org/officeDocument/2006/relationships/hyperlink" Target="https://login.consultant.ru/link/?req=doc&amp;base=RLAW411&amp;n=226476&amp;dst=100563" TargetMode="External"/><Relationship Id="rId39" Type="http://schemas.openxmlformats.org/officeDocument/2006/relationships/hyperlink" Target="https://login.consultant.ru/link/?req=doc&amp;base=RLAW411&amp;n=175361" TargetMode="External"/><Relationship Id="rId109" Type="http://schemas.openxmlformats.org/officeDocument/2006/relationships/hyperlink" Target="https://login.consultant.ru/link/?req=doc&amp;base=LAW&amp;n=310434" TargetMode="External"/><Relationship Id="rId34" Type="http://schemas.openxmlformats.org/officeDocument/2006/relationships/hyperlink" Target="https://login.consultant.ru/link/?req=doc&amp;base=RLAW411&amp;n=167275" TargetMode="External"/><Relationship Id="rId50" Type="http://schemas.openxmlformats.org/officeDocument/2006/relationships/hyperlink" Target="https://login.consultant.ru/link/?req=doc&amp;base=RLAW411&amp;n=187120" TargetMode="External"/><Relationship Id="rId55" Type="http://schemas.openxmlformats.org/officeDocument/2006/relationships/hyperlink" Target="https://login.consultant.ru/link/?req=doc&amp;base=RLAW411&amp;n=190807" TargetMode="External"/><Relationship Id="rId76" Type="http://schemas.openxmlformats.org/officeDocument/2006/relationships/hyperlink" Target="https://login.consultant.ru/link/?req=doc&amp;base=RLAW411&amp;n=212900&amp;dst=100005" TargetMode="External"/><Relationship Id="rId97" Type="http://schemas.openxmlformats.org/officeDocument/2006/relationships/hyperlink" Target="https://login.consultant.ru/link/?req=doc&amp;base=RLAW411&amp;n=127755" TargetMode="External"/><Relationship Id="rId104" Type="http://schemas.openxmlformats.org/officeDocument/2006/relationships/hyperlink" Target="https://login.consultant.ru/link/?req=doc&amp;base=RLAW411&amp;n=190419" TargetMode="External"/><Relationship Id="rId7" Type="http://schemas.openxmlformats.org/officeDocument/2006/relationships/hyperlink" Target="https://login.consultant.ru/link/?req=doc&amp;base=RLAW411&amp;n=212900&amp;dst=100005" TargetMode="External"/><Relationship Id="rId71" Type="http://schemas.openxmlformats.org/officeDocument/2006/relationships/hyperlink" Target="https://login.consultant.ru/link/?req=doc&amp;base=RLAW411&amp;n=205577" TargetMode="External"/><Relationship Id="rId92" Type="http://schemas.openxmlformats.org/officeDocument/2006/relationships/hyperlink" Target="https://login.consultant.ru/link/?req=doc&amp;base=RLAW411&amp;n=213519&amp;dst=10001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411&amp;n=164558" TargetMode="External"/><Relationship Id="rId24" Type="http://schemas.openxmlformats.org/officeDocument/2006/relationships/hyperlink" Target="https://login.consultant.ru/link/?req=doc&amp;base=RLAW411&amp;n=160967" TargetMode="External"/><Relationship Id="rId40" Type="http://schemas.openxmlformats.org/officeDocument/2006/relationships/hyperlink" Target="https://login.consultant.ru/link/?req=doc&amp;base=RLAW411&amp;n=176475" TargetMode="External"/><Relationship Id="rId45" Type="http://schemas.openxmlformats.org/officeDocument/2006/relationships/hyperlink" Target="https://login.consultant.ru/link/?req=doc&amp;base=RLAW411&amp;n=183383" TargetMode="External"/><Relationship Id="rId66" Type="http://schemas.openxmlformats.org/officeDocument/2006/relationships/hyperlink" Target="https://login.consultant.ru/link/?req=doc&amp;base=RLAW411&amp;n=203295" TargetMode="External"/><Relationship Id="rId87" Type="http://schemas.openxmlformats.org/officeDocument/2006/relationships/hyperlink" Target="https://login.consultant.ru/link/?req=doc&amp;base=LAW&amp;n=521891&amp;dst=100016" TargetMode="External"/><Relationship Id="rId110" Type="http://schemas.openxmlformats.org/officeDocument/2006/relationships/hyperlink" Target="https://login.consultant.ru/link/?req=doc&amp;base=LAW&amp;n=511262" TargetMode="External"/><Relationship Id="rId61" Type="http://schemas.openxmlformats.org/officeDocument/2006/relationships/hyperlink" Target="https://login.consultant.ru/link/?req=doc&amp;base=RLAW411&amp;n=196243" TargetMode="External"/><Relationship Id="rId82" Type="http://schemas.openxmlformats.org/officeDocument/2006/relationships/hyperlink" Target="https://login.consultant.ru/link/?req=doc&amp;base=RLAW411&amp;n=217640&amp;dst=100005" TargetMode="External"/><Relationship Id="rId19" Type="http://schemas.openxmlformats.org/officeDocument/2006/relationships/hyperlink" Target="https://login.consultant.ru/link/?req=doc&amp;base=RLAW411&amp;n=207415" TargetMode="External"/><Relationship Id="rId14" Type="http://schemas.openxmlformats.org/officeDocument/2006/relationships/hyperlink" Target="https://login.consultant.ru/link/?req=doc&amp;base=RLAW411&amp;n=218502&amp;dst=100005" TargetMode="External"/><Relationship Id="rId30" Type="http://schemas.openxmlformats.org/officeDocument/2006/relationships/hyperlink" Target="https://login.consultant.ru/link/?req=doc&amp;base=RLAW411&amp;n=165067" TargetMode="External"/><Relationship Id="rId35" Type="http://schemas.openxmlformats.org/officeDocument/2006/relationships/hyperlink" Target="https://login.consultant.ru/link/?req=doc&amp;base=RLAW411&amp;n=169213" TargetMode="External"/><Relationship Id="rId56" Type="http://schemas.openxmlformats.org/officeDocument/2006/relationships/hyperlink" Target="https://login.consultant.ru/link/?req=doc&amp;base=RLAW411&amp;n=191738" TargetMode="External"/><Relationship Id="rId77" Type="http://schemas.openxmlformats.org/officeDocument/2006/relationships/hyperlink" Target="https://login.consultant.ru/link/?req=doc&amp;base=RLAW411&amp;n=213519&amp;dst=100005" TargetMode="External"/><Relationship Id="rId100" Type="http://schemas.openxmlformats.org/officeDocument/2006/relationships/hyperlink" Target="https://login.consultant.ru/link/?req=doc&amp;base=RLAW411&amp;n=218502&amp;dst=100012" TargetMode="External"/><Relationship Id="rId105" Type="http://schemas.openxmlformats.org/officeDocument/2006/relationships/hyperlink" Target="https://login.consultant.ru/link/?req=doc&amp;base=LAW&amp;n=500132" TargetMode="External"/><Relationship Id="rId8" Type="http://schemas.openxmlformats.org/officeDocument/2006/relationships/hyperlink" Target="https://login.consultant.ru/link/?req=doc&amp;base=RLAW411&amp;n=213519&amp;dst=100005" TargetMode="External"/><Relationship Id="rId51" Type="http://schemas.openxmlformats.org/officeDocument/2006/relationships/hyperlink" Target="https://login.consultant.ru/link/?req=doc&amp;base=RLAW411&amp;n=187136" TargetMode="External"/><Relationship Id="rId72" Type="http://schemas.openxmlformats.org/officeDocument/2006/relationships/hyperlink" Target="www.pravo.gov.ru" TargetMode="External"/><Relationship Id="rId93" Type="http://schemas.openxmlformats.org/officeDocument/2006/relationships/hyperlink" Target="https://login.consultant.ru/link/?req=doc&amp;base=RLAW411&amp;n=213519&amp;dst=100012" TargetMode="External"/><Relationship Id="rId98" Type="http://schemas.openxmlformats.org/officeDocument/2006/relationships/hyperlink" Target="https://login.consultant.ru/link/?req=doc&amp;base=RLAW411&amp;n=218502&amp;dst=10000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411&amp;n=161931" TargetMode="External"/><Relationship Id="rId46" Type="http://schemas.openxmlformats.org/officeDocument/2006/relationships/hyperlink" Target="https://login.consultant.ru/link/?req=doc&amp;base=RLAW411&amp;n=184234" TargetMode="External"/><Relationship Id="rId67" Type="http://schemas.openxmlformats.org/officeDocument/2006/relationships/hyperlink" Target="https://login.consultant.ru/link/?req=doc&amp;base=RLAW411&amp;n=203924" TargetMode="External"/><Relationship Id="rId20" Type="http://schemas.openxmlformats.org/officeDocument/2006/relationships/hyperlink" Target="https://login.consultant.ru/link/?req=doc&amp;base=RLAW411&amp;n=156474" TargetMode="External"/><Relationship Id="rId41" Type="http://schemas.openxmlformats.org/officeDocument/2006/relationships/hyperlink" Target="https://login.consultant.ru/link/?req=doc&amp;base=RLAW411&amp;n=176619" TargetMode="External"/><Relationship Id="rId62" Type="http://schemas.openxmlformats.org/officeDocument/2006/relationships/hyperlink" Target="https://login.consultant.ru/link/?req=doc&amp;base=RLAW411&amp;n=197856" TargetMode="External"/><Relationship Id="rId83" Type="http://schemas.openxmlformats.org/officeDocument/2006/relationships/hyperlink" Target="https://login.consultant.ru/link/?req=doc&amp;base=RLAW411&amp;n=218502&amp;dst=100005" TargetMode="External"/><Relationship Id="rId88" Type="http://schemas.openxmlformats.org/officeDocument/2006/relationships/hyperlink" Target="https://login.consultant.ru/link/?req=doc&amp;base=LAW&amp;n=522697&amp;dst=18892" TargetMode="External"/><Relationship Id="rId111" Type="http://schemas.openxmlformats.org/officeDocument/2006/relationships/hyperlink" Target="https://login.consultant.ru/link/?req=doc&amp;base=LAW&amp;n=5184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8542</Words>
  <Characters>48696</Characters>
  <Application>Microsoft Office Word</Application>
  <DocSecurity>0</DocSecurity>
  <Lines>405</Lines>
  <Paragraphs>114</Paragraphs>
  <ScaleCrop>false</ScaleCrop>
  <Company/>
  <LinksUpToDate>false</LinksUpToDate>
  <CharactersWithSpaces>57124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Куклина Татьяна Витальевна</cp:lastModifiedBy>
  <cp:revision>4</cp:revision>
  <dcterms:created xsi:type="dcterms:W3CDTF">2026-01-15T03:42:00Z</dcterms:created>
  <dcterms:modified xsi:type="dcterms:W3CDTF">2026-01-15T03:42:00Z</dcterms:modified>
</cp:coreProperties>
</file>