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B4942">
        <w:rPr>
          <w:sz w:val="24"/>
          <w:szCs w:val="24"/>
        </w:rPr>
        <w:t>80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EB4942">
        <w:rPr>
          <w:sz w:val="24"/>
          <w:szCs w:val="24"/>
        </w:rPr>
        <w:t>314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B4942" w:rsidRPr="00EB4942">
        <w:rPr>
          <w:sz w:val="24"/>
          <w:szCs w:val="24"/>
        </w:rPr>
        <w:t>Иркутская обл., Бодайбинский район, садово-огородное товарищество "Радуга", участок № 4/5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EB4942">
        <w:rPr>
          <w:sz w:val="24"/>
          <w:szCs w:val="24"/>
        </w:rPr>
        <w:t>Хорзов Николай Максимович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B4942">
        <w:rPr>
          <w:sz w:val="24"/>
          <w:szCs w:val="24"/>
        </w:rPr>
        <w:t>Хорзова Николая Максимовича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EB4942">
        <w:rPr>
          <w:sz w:val="24"/>
          <w:szCs w:val="24"/>
        </w:rPr>
        <w:t>08.07.1993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B4942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2023-12-05T02:41:00Z</dcterms:modified>
</cp:coreProperties>
</file>