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43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56"/>
        <w:gridCol w:w="5409"/>
      </w:tblGrid>
      <w:tr>
        <w:tblPrEx/>
        <w:trPr>
          <w:trHeight w:val="994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11591" cy="1190625"/>
                      <wp:effectExtent l="0" t="0" r="8255" b="0"/>
                      <wp:docPr id="1" name="Рисунок 1" descr="C:\Users\gomanenko_gv\Desktop\герб длинный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gomanenko_gv\Desktop\герб длинный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91070" cy="12242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21.39pt;height:93.7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jc w:val="right"/>
              <w:rPr>
                <w:rFonts w:ascii="Inter V" w:hAnsi="Inter V" w:cs="Times New Roman"/>
                <w:b/>
              </w:rPr>
            </w:pP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</w:p>
        </w:tc>
      </w:tr>
    </w:tbl>
    <w:p>
      <w:pPr>
        <w:jc w:val="right"/>
        <w:spacing w:line="240" w:lineRule="auto"/>
        <w:tabs>
          <w:tab w:val="left" w:pos="567" w:leader="none"/>
        </w:tabs>
        <w:rPr>
          <w:rFonts w:ascii="PT Astra Sans" w:hAnsi="PT Astra Sans" w:cs="PT Astra Sans"/>
          <w:color w:val="202122"/>
          <w:sz w:val="26"/>
          <w:szCs w:val="26"/>
        </w:rPr>
      </w:pPr>
      <w:r>
        <w:rPr>
          <w:rFonts w:ascii="PT Astra Sans" w:hAnsi="PT Astra Sans" w:eastAsia="PT Astra Sans" w:cs="PT Astra Sans"/>
          <w:color w:val="202122"/>
          <w:sz w:val="26"/>
          <w:szCs w:val="26"/>
          <w:highlight w:val="none"/>
          <w:shd w:val="clear" w:color="auto" w:fill="ffffff"/>
        </w:rPr>
      </w:r>
      <w:r>
        <w:rPr>
          <w:rFonts w:ascii="PT Astra Sans" w:hAnsi="PT Astra Sans" w:cs="PT Astra Sans"/>
          <w:color w:val="202122"/>
          <w:sz w:val="26"/>
          <w:szCs w:val="26"/>
        </w:rPr>
      </w:r>
      <w:r>
        <w:rPr>
          <w:rFonts w:ascii="PT Astra Sans" w:hAnsi="PT Astra Sans" w:cs="PT Astra Sans"/>
          <w:color w:val="202122"/>
          <w:sz w:val="26"/>
          <w:szCs w:val="26"/>
        </w:rPr>
      </w:r>
    </w:p>
    <w:p>
      <w:pPr>
        <w:jc w:val="right"/>
        <w:spacing w:line="240" w:lineRule="auto"/>
        <w:tabs>
          <w:tab w:val="left" w:pos="567" w:leader="none"/>
        </w:tabs>
        <w:rPr>
          <w:rFonts w:ascii="PT Astra Sans" w:hAnsi="PT Astra Sans" w:eastAsia="PT Astra Sans" w:cs="PT Astra Sans"/>
          <w:color w:val="202122"/>
          <w:sz w:val="26"/>
          <w:szCs w:val="26"/>
          <w:highlight w:val="none"/>
          <w:shd w:val="clear" w:color="auto" w:fill="ffffff"/>
        </w:rPr>
      </w:pPr>
      <w:r>
        <w:rPr>
          <w:rFonts w:ascii="PT Astra Sans" w:hAnsi="PT Astra Sans" w:eastAsia="PT Astra Sans" w:cs="PT Astra Sans"/>
          <w:color w:val="202122"/>
          <w:sz w:val="22"/>
          <w:szCs w:val="22"/>
          <w:shd w:val="clear" w:color="auto" w:fill="ffffff"/>
        </w:rPr>
        <w:t xml:space="preserve">28 августа 2025 года</w:t>
      </w:r>
      <w:r>
        <w:rPr>
          <w:rFonts w:ascii="PT Astra Sans" w:hAnsi="PT Astra Sans" w:eastAsia="PT Astra Sans" w:cs="PT Astra Sans"/>
          <w:color w:val="202122"/>
          <w:sz w:val="26"/>
          <w:szCs w:val="26"/>
          <w:highlight w:val="none"/>
          <w:shd w:val="clear" w:color="auto" w:fill="ffffff"/>
        </w:rPr>
      </w:r>
      <w:r>
        <w:rPr>
          <w:rFonts w:ascii="PT Astra Sans" w:hAnsi="PT Astra Sans" w:eastAsia="PT Astra Sans" w:cs="PT Astra Sans"/>
          <w:color w:val="202122"/>
          <w:sz w:val="26"/>
          <w:szCs w:val="26"/>
          <w:highlight w:val="none"/>
          <w:shd w:val="clear" w:color="auto" w:fill="ffffff"/>
        </w:rPr>
      </w:r>
    </w:p>
    <w:p>
      <w:pPr>
        <w:rPr>
          <w:rFonts w:ascii="PT Astra Serif" w:hAnsi="PT Astra Serif" w:cs="PT Astra Serif"/>
          <w:b/>
          <w:bCs/>
          <w:highlight w:val="none"/>
        </w:rPr>
      </w:pPr>
      <w:r>
        <w:rPr>
          <w:rFonts w:ascii="PT Astra Serif" w:hAnsi="PT Astra Serif" w:eastAsia="PT Astra Serif" w:cs="PT Astra Serif"/>
          <w:b/>
          <w:bCs/>
          <w:highlight w:val="none"/>
        </w:rPr>
      </w:r>
      <w:r>
        <w:rPr>
          <w:rFonts w:ascii="PT Astra Serif" w:hAnsi="PT Astra Serif" w:cs="PT Astra Serif"/>
          <w:b/>
          <w:bCs/>
          <w:highlight w:val="none"/>
        </w:rPr>
      </w:r>
      <w:r>
        <w:rPr>
          <w:rFonts w:ascii="PT Astra Serif" w:hAnsi="PT Astra Serif" w:cs="PT Astra Serif"/>
          <w:b/>
          <w:bCs/>
          <w:highlight w:val="none"/>
        </w:rPr>
      </w:r>
    </w:p>
    <w:p>
      <w:pPr>
        <w:contextualSpacing w:val="0"/>
        <w:ind w:left="0" w:right="0" w:firstLine="0"/>
        <w:jc w:val="both"/>
        <w:spacing w:before="0" w:after="0" w:line="259" w:lineRule="auto"/>
        <w:rPr>
          <w:b/>
          <w:bCs/>
        </w:rPr>
        <w:suppressLineNumbers w:val="0"/>
      </w:pP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  <w:t xml:space="preserve">Машино-место: твоя или общая собственность?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b/>
          <w:bCs/>
        </w:rPr>
      </w:r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Напомним, что ранее по закону помещение, в котором находились машино-места, должно было принадлежать всем хозяевам машиномест на праве общей долевой собственности. То есть каждому их них принадлежала доля в праве, а не конкретное машино-место.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Это было довольно неудобно, так как при необходимости продать машино-место его владельцу приходилось получать отказ от покупки у всех сособственников.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З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атем закон изменился и стало возможно вместо доли в праве оформить свое право на отдельное машино-место как на самостоятельный объект недвижимости. Однако при этом процесс выдела своего машино-места из общей долевой собственности оставался достаточно сложн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ым.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Именно поэтому важно, что с 4 декабря 2024 года вступили в силу изменения, упростившие процесс образования машино-места в счет доли в праве общей долевой собственности.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Н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овый порядок дает возможность выделить машино-место как самостоятельный объект недвижимости, право на которое зарегистрировано в виде доли в праве общей долевой собственности, без согласия всех участников долевой собственности и без решения общего собрания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 всех сособственников.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К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ак пояснила и.о. заместителя руководителя Управления Росреестра по Иркутской области Юлия Валерьевна Яхненко, при этом собственник вместо доли в праве на все помещение, на весь этаж, где расположены машино-места, получает право собственности на свое, конкр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етное машино-место, с указанием его площади и границ. В таком случае собственник уже не зависит от владельцев других машино-мест и все решения по своей недвижимости может принимать самостоятельно.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Для того, чтобы сделать выдел своего машино-места из общей долевой собственности, потребуется обратиться к кадастровому инженеру для подготовки технического плана.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П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о словам заместителя председателя Общественного совета при управлении Росреестра по Иркутской области директора филиала КИРС СРО А КИ «Содружество» Светланы Видутисовны Юревичуте, кадастровый инженер при этом не только определит все характеристики вашего м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ашино-места и подготовит технический план, но и проведет согласование местоположения машино-места с другими участниками общей долевой собственности. 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После этого документы направляются в Росреестр (напомним, что быстрее и проще это можно сделать в электронном виде) для проведения кадастрового учета и регистрации права на машино-место.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contextualSpacing w:val="0"/>
        <w:ind w:left="0" w:right="0" w:firstLine="0"/>
        <w:jc w:val="both"/>
        <w:spacing w:before="0" w:after="0" w:line="259" w:lineRule="auto"/>
        <w:rPr>
          <w:rFonts w:ascii="PT Astra Serif" w:hAnsi="PT Astra Serif" w:cs="PT Astra Serif"/>
          <w:sz w:val="24"/>
          <w:szCs w:val="24"/>
          <w:highlight w:val="none"/>
        </w:rPr>
        <w:suppressLineNumbers w:val="0"/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Вопросы по данной теме можно задать по бесплатному справочному телефону Управления Росреестра по Иркутской области 8(3952) 450-150.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0" w:after="0" w:line="259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 w:val="0"/>
        <w:ind w:left="0" w:right="0" w:firstLine="0"/>
        <w:jc w:val="both"/>
        <w:spacing w:before="0" w:after="0" w:line="259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erif" w:hAnsi="PT Astra Serif" w:cs="PT Astra Serif"/>
          <w:bCs/>
          <w:i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PT Astra Serif" w:hAnsi="PT Astra Serif" w:cs="PT Astra Serif"/>
          <w:bCs/>
          <w:i/>
          <w:sz w:val="24"/>
          <w:szCs w:val="24"/>
          <w:highlight w:val="none"/>
        </w:rPr>
      </w:r>
      <w:r>
        <w:rPr>
          <w:rFonts w:ascii="PT Astra Serif" w:hAnsi="PT Astra Serif" w:cs="PT Astra Serif"/>
          <w:bCs/>
          <w:i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426" w:right="849" w:bottom="113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ans">
    <w:panose1 w:val="020B0603020203020204"/>
  </w:font>
  <w:font w:name="Times New Roman">
    <w:panose1 w:val="02020603050405020304"/>
  </w:font>
  <w:font w:name="Inter V">
    <w:panose1 w:val="02000603000000000000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5"/>
    <w:next w:val="835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6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5"/>
    <w:next w:val="835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6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6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6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6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6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6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6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5"/>
    <w:next w:val="835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6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5"/>
    <w:next w:val="835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6"/>
    <w:link w:val="679"/>
    <w:uiPriority w:val="10"/>
    <w:rPr>
      <w:sz w:val="48"/>
      <w:szCs w:val="48"/>
    </w:rPr>
  </w:style>
  <w:style w:type="paragraph" w:styleId="681">
    <w:name w:val="Subtitle"/>
    <w:basedOn w:val="835"/>
    <w:next w:val="835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6"/>
    <w:link w:val="681"/>
    <w:uiPriority w:val="11"/>
    <w:rPr>
      <w:sz w:val="24"/>
      <w:szCs w:val="24"/>
    </w:rPr>
  </w:style>
  <w:style w:type="paragraph" w:styleId="683">
    <w:name w:val="Quote"/>
    <w:basedOn w:val="835"/>
    <w:next w:val="835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5"/>
    <w:next w:val="835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6"/>
    <w:link w:val="687"/>
    <w:uiPriority w:val="99"/>
  </w:style>
  <w:style w:type="paragraph" w:styleId="689">
    <w:name w:val="Footer"/>
    <w:basedOn w:val="835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6"/>
    <w:link w:val="689"/>
    <w:uiPriority w:val="99"/>
  </w:style>
  <w:style w:type="paragraph" w:styleId="691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Balloon Text"/>
    <w:basedOn w:val="835"/>
    <w:link w:val="84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0" w:customStyle="1">
    <w:name w:val="Текст выноски Знак"/>
    <w:basedOn w:val="836"/>
    <w:link w:val="839"/>
    <w:uiPriority w:val="99"/>
    <w:semiHidden/>
    <w:rPr>
      <w:rFonts w:ascii="Segoe UI" w:hAnsi="Segoe UI" w:cs="Segoe UI"/>
      <w:sz w:val="18"/>
      <w:szCs w:val="18"/>
    </w:rPr>
  </w:style>
  <w:style w:type="character" w:styleId="841">
    <w:name w:val="Hyperlink"/>
    <w:basedOn w:val="836"/>
    <w:uiPriority w:val="99"/>
    <w:unhideWhenUsed/>
    <w:rPr>
      <w:color w:val="0563c1" w:themeColor="hyperlink"/>
      <w:u w:val="single"/>
    </w:rPr>
  </w:style>
  <w:style w:type="paragraph" w:styleId="842">
    <w:name w:val="List Paragraph"/>
    <w:basedOn w:val="835"/>
    <w:uiPriority w:val="34"/>
    <w:qFormat/>
    <w:pPr>
      <w:contextualSpacing/>
      <w:ind w:left="720"/>
    </w:pPr>
  </w:style>
  <w:style w:type="table" w:styleId="843">
    <w:name w:val="Table Grid"/>
    <w:basedOn w:val="83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4" w:customStyle="1">
    <w:name w:val="object"/>
    <w:basedOn w:val="836"/>
  </w:style>
  <w:style w:type="paragraph" w:styleId="845">
    <w:name w:val="Normal (Web)"/>
    <w:basedOn w:val="83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6">
    <w:name w:val="Strong"/>
    <w:basedOn w:val="836"/>
    <w:uiPriority w:val="22"/>
    <w:qFormat/>
    <w:rPr>
      <w:b/>
      <w:bCs/>
    </w:rPr>
  </w:style>
  <w:style w:type="character" w:styleId="847">
    <w:name w:val="Emphasis"/>
    <w:basedOn w:val="836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0731-50C2-48B4-ABE6-4C8323D0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revision>51</cp:revision>
  <dcterms:created xsi:type="dcterms:W3CDTF">2024-02-13T03:39:00Z</dcterms:created>
  <dcterms:modified xsi:type="dcterms:W3CDTF">2025-08-28T01:15:37Z</dcterms:modified>
</cp:coreProperties>
</file>