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49375" w14:textId="56590191" w:rsidR="00F105D0" w:rsidRPr="00E52818" w:rsidRDefault="0092549D" w:rsidP="0092549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Pr="0092549D">
        <w:rPr>
          <w:rFonts w:ascii="Times New Roman" w:hAnsi="Times New Roman" w:cs="Times New Roman"/>
          <w:sz w:val="26"/>
          <w:szCs w:val="26"/>
        </w:rPr>
        <w:t>рокуратура</w:t>
      </w:r>
      <w:r>
        <w:rPr>
          <w:rFonts w:ascii="Times New Roman" w:hAnsi="Times New Roman" w:cs="Times New Roman"/>
          <w:sz w:val="26"/>
          <w:szCs w:val="26"/>
        </w:rPr>
        <w:t xml:space="preserve"> г. Бодайбо</w:t>
      </w:r>
      <w:r w:rsidRPr="0092549D">
        <w:rPr>
          <w:rFonts w:ascii="Times New Roman" w:hAnsi="Times New Roman" w:cs="Times New Roman"/>
          <w:sz w:val="26"/>
          <w:szCs w:val="26"/>
        </w:rPr>
        <w:t xml:space="preserve"> разъясняет уголовную ответственность за незаконную рубку лесных насаждений</w:t>
      </w:r>
      <w:r w:rsidR="00F105D0">
        <w:rPr>
          <w:rFonts w:ascii="Times New Roman" w:hAnsi="Times New Roman" w:cs="Times New Roman"/>
          <w:sz w:val="26"/>
          <w:szCs w:val="26"/>
        </w:rPr>
        <w:t>.</w:t>
      </w:r>
    </w:p>
    <w:p w14:paraId="047F824A" w14:textId="2F9DE920"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Статьей 260 Уголовного кодекса РФ предусмотрена уголовная ответственность за незаконную рубку, а равно повреждение до степени прекращения роста лесных насаждений или не отнесенных к лесным насаждениям деревьев, кустарников, лиан.</w:t>
      </w:r>
    </w:p>
    <w:p w14:paraId="257E5BD3"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Предметом преступлений, предусмотренных статьей 260 УК РФ, являются лесные насаждения, то есть деревья, кустарники и лианы, произрастающие в лесах, а также деревья, кустарники и лианы, произрастающие вне лесов (например, насаждения в парках, аллеях, отдельно высаженные в черте города деревья, насаждения в полосах отвода железнодорожных магистралей и автомобильных дорог или каналов). При этом не имеет значения, высажены ли лесные насаждения или не отнесенные к лесным насаждениям деревья, кустарники, лианы искусственно либо они произросли без целенаправленных усилий человека.</w:t>
      </w:r>
    </w:p>
    <w:p w14:paraId="3261DF9C"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Не относятся к предмету указанных преступлений, в частности, деревья, кустарники и лианы, произрастающие на землях сельскохозяйственного назначения (за исключением лесных насаждений, предназначенных для обеспечения защиты земель от воздействия негативных (вредных) природных, антропогенных и техногенных явлений), на приусадебных земельных участках, на земельных участках, предоставленных для индивидуального жилищного, гаражного строительства, ведения личного подсобного и дачного хозяйства, садоводства, животноводства и огородничества, в лесопитомниках, питомниках плодовых, ягодных, декоративных и иных культур, а также ветровальные, буреломные, сухостойные деревья, если иное не предусмотрено специальными нормативными правовыми актами. Рубка указанных насаждений, а равно их уничтожение или повреждение при наличии к тому предусмотренных законом оснований могут быть квалифицированы как хищение либо уничтожение или повреждение имущества.</w:t>
      </w:r>
    </w:p>
    <w:p w14:paraId="09215F1C"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Незаконной является рубка лесных насаждений или не отнесенных к лесным насаждениям деревьев, кустарников и лиан с нарушением требований законодательства, например рубка лесных насаждений без оформления необходимых документов (в частности, договора аренды, решения о предоставлении лесного участка, проекта освоения лесов, получившего положительное заключение государственной или муниципальной экспертизы, договора купли-продажи лесных насаждений, государственного или муниципального контракта на выполнение работ по охране, защите, воспроизводству лесов), либо в объеме, превышающем разрешенный, либо с нарушением породного или возрастного состава, либо за пределами лесосеки.</w:t>
      </w:r>
    </w:p>
    <w:p w14:paraId="33DD5B57" w14:textId="38E935E4"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Договор аренды лесного участка или решение о предоставлении лесного участка на иных правах для заготовки древесины либо других видов использования лесов не являются достаточным правовым основанием для проведения рубок лесных насаждений. В частности, рубка лесных насаждений</w:t>
      </w:r>
      <w:r>
        <w:rPr>
          <w:rFonts w:ascii="Times New Roman" w:hAnsi="Times New Roman" w:cs="Times New Roman"/>
          <w:sz w:val="26"/>
          <w:szCs w:val="26"/>
        </w:rPr>
        <w:t xml:space="preserve"> </w:t>
      </w:r>
      <w:r w:rsidRPr="0092549D">
        <w:rPr>
          <w:rFonts w:ascii="Times New Roman" w:hAnsi="Times New Roman" w:cs="Times New Roman"/>
          <w:sz w:val="26"/>
          <w:szCs w:val="26"/>
        </w:rPr>
        <w:t>арендатором лесного участка считается незаконной в тех случаях, когда у такого лица отсутствуют документы для рубки лесных насаждений на арендованном участке (например, проект освоения лесов, получивший положительное заключение государственной или муниципальной экспертизы) либо были вырублены деревья, рубка которых не предполагалась проектом освоения лесов или произведена с нарушением сроков</w:t>
      </w:r>
    </w:p>
    <w:p w14:paraId="55D3C9D8"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 xml:space="preserve">К повреждениям до степени прекращения роста лесных насаждений или не относящихся к лесным насаждениям деревьев, кустарников и лиан относятся такие повреждения, которые необратимо нарушают способность насаждений к продолжению роста (например, слом ствола дерева, </w:t>
      </w:r>
      <w:proofErr w:type="spellStart"/>
      <w:r w:rsidRPr="0092549D">
        <w:rPr>
          <w:rFonts w:ascii="Times New Roman" w:hAnsi="Times New Roman" w:cs="Times New Roman"/>
          <w:sz w:val="26"/>
          <w:szCs w:val="26"/>
        </w:rPr>
        <w:t>ошмыг</w:t>
      </w:r>
      <w:proofErr w:type="spellEnd"/>
      <w:r w:rsidRPr="0092549D">
        <w:rPr>
          <w:rFonts w:ascii="Times New Roman" w:hAnsi="Times New Roman" w:cs="Times New Roman"/>
          <w:sz w:val="26"/>
          <w:szCs w:val="26"/>
        </w:rPr>
        <w:t xml:space="preserve"> кроны, обдир коры).</w:t>
      </w:r>
    </w:p>
    <w:p w14:paraId="665B932E"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lastRenderedPageBreak/>
        <w:t>Данная позиция отражена в Постановлении Пленума Верховного Суда РФ от 18.10.2012 N 21 "О применении судами законодательства об ответственности за нарушения в области охраны окружающей среды и природопользования").</w:t>
      </w:r>
    </w:p>
    <w:p w14:paraId="08C3C34F"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Основным критерием разграничения уголовно наказуемой незаконной рубки лесных насаждений (часть 1 статья 260 УК РФ) и незаконной рубки лесных насаждений, за которую ответственность предусмотрена статьей 8.28 КоАП РФ, является значительный размер ущерба, причиненного посягательством, который должен превышать пять тысяч рублей (примечание к статье 260 УК РФ).</w:t>
      </w:r>
    </w:p>
    <w:p w14:paraId="7CAC1273"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Статьей 260 УК РФ предусмотрены следующие виды уголовной ответственности за совершение данного преступления.</w:t>
      </w:r>
      <w:bookmarkStart w:id="0" w:name="_GoBack"/>
      <w:bookmarkEnd w:id="0"/>
    </w:p>
    <w:p w14:paraId="4974210A"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14:paraId="2517D1E7" w14:textId="5CEBD8D5"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группой лиц; лицом с использованием своего служебного положения; в крупном размере, наказываются штрафом в размере от пятисот тысяч до одного миллиона пятисот тысяч рублей или в размере заработной платы или иного дохода</w:t>
      </w:r>
      <w:r>
        <w:rPr>
          <w:rFonts w:ascii="Times New Roman" w:hAnsi="Times New Roman" w:cs="Times New Roman"/>
          <w:sz w:val="26"/>
          <w:szCs w:val="26"/>
        </w:rPr>
        <w:t xml:space="preserve"> </w:t>
      </w:r>
      <w:r w:rsidRPr="0092549D">
        <w:rPr>
          <w:rFonts w:ascii="Times New Roman" w:hAnsi="Times New Roman" w:cs="Times New Roman"/>
          <w:sz w:val="26"/>
          <w:szCs w:val="26"/>
        </w:rPr>
        <w:t>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25A2F6BE"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 xml:space="preserve">Деяния, предусмотренные частями первой или второй настоящей статьи, совершенные в особо крупном размере, группой лиц по предварительному сговору или организованной группой, 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w:t>
      </w:r>
      <w:r w:rsidRPr="0092549D">
        <w:rPr>
          <w:rFonts w:ascii="Times New Roman" w:hAnsi="Times New Roman" w:cs="Times New Roman"/>
          <w:sz w:val="26"/>
          <w:szCs w:val="26"/>
        </w:rPr>
        <w:lastRenderedPageBreak/>
        <w:t>такового и с лишением права занимать определенные должности или заниматься определенной деятельностью на срок до трех лет или без такового.</w:t>
      </w:r>
    </w:p>
    <w:p w14:paraId="08943653" w14:textId="7B039049" w:rsidR="00997D7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w:t>
      </w:r>
    </w:p>
    <w:p w14:paraId="2C6E50F2" w14:textId="77777777" w:rsidR="00BC5090" w:rsidRDefault="00BC5090" w:rsidP="00BC5090">
      <w:pPr>
        <w:spacing w:after="0" w:line="240" w:lineRule="exact"/>
        <w:ind w:right="-284"/>
        <w:contextualSpacing/>
        <w:jc w:val="both"/>
        <w:rPr>
          <w:rFonts w:ascii="Times New Roman" w:hAnsi="Times New Roman"/>
          <w:sz w:val="28"/>
          <w:szCs w:val="28"/>
        </w:rPr>
      </w:pPr>
    </w:p>
    <w:p w14:paraId="4A8330B5" w14:textId="77777777" w:rsidR="00BC5090" w:rsidRDefault="00BC5090" w:rsidP="00BC5090">
      <w:pPr>
        <w:spacing w:after="0" w:line="240" w:lineRule="exact"/>
        <w:ind w:right="-284"/>
        <w:contextualSpacing/>
        <w:jc w:val="both"/>
        <w:rPr>
          <w:rFonts w:ascii="Times New Roman" w:hAnsi="Times New Roman"/>
          <w:sz w:val="28"/>
          <w:szCs w:val="28"/>
        </w:rPr>
      </w:pPr>
    </w:p>
    <w:p w14:paraId="25E2DDD9" w14:textId="1F243147" w:rsidR="00BC5090" w:rsidRPr="007B51A0" w:rsidRDefault="00BC5090" w:rsidP="00BC5090">
      <w:pPr>
        <w:spacing w:after="0" w:line="240" w:lineRule="exact"/>
        <w:ind w:right="-284"/>
        <w:contextualSpacing/>
        <w:jc w:val="both"/>
        <w:rPr>
          <w:rFonts w:ascii="Times New Roman" w:hAnsi="Times New Roman"/>
          <w:sz w:val="28"/>
          <w:szCs w:val="28"/>
        </w:rPr>
      </w:pPr>
      <w:r>
        <w:rPr>
          <w:rFonts w:ascii="Times New Roman" w:hAnsi="Times New Roman"/>
          <w:sz w:val="28"/>
          <w:szCs w:val="28"/>
        </w:rPr>
        <w:t>И.о. п</w:t>
      </w:r>
      <w:r w:rsidRPr="007B51A0">
        <w:rPr>
          <w:rFonts w:ascii="Times New Roman" w:hAnsi="Times New Roman"/>
          <w:sz w:val="28"/>
          <w:szCs w:val="28"/>
        </w:rPr>
        <w:t>рокурор</w:t>
      </w:r>
      <w:r>
        <w:rPr>
          <w:rFonts w:ascii="Times New Roman" w:hAnsi="Times New Roman"/>
          <w:sz w:val="28"/>
          <w:szCs w:val="28"/>
        </w:rPr>
        <w:t>а</w:t>
      </w:r>
      <w:r w:rsidRPr="007B51A0">
        <w:rPr>
          <w:rFonts w:ascii="Times New Roman" w:hAnsi="Times New Roman"/>
          <w:sz w:val="28"/>
          <w:szCs w:val="28"/>
        </w:rPr>
        <w:t xml:space="preserve"> города</w:t>
      </w:r>
    </w:p>
    <w:p w14:paraId="0B65A74D" w14:textId="77777777" w:rsidR="00BC5090" w:rsidRPr="007B51A0" w:rsidRDefault="00BC5090" w:rsidP="00BC5090">
      <w:pPr>
        <w:spacing w:after="0" w:line="240" w:lineRule="exact"/>
        <w:ind w:right="-1"/>
        <w:contextualSpacing/>
        <w:jc w:val="both"/>
        <w:rPr>
          <w:rFonts w:ascii="Times New Roman" w:hAnsi="Times New Roman"/>
          <w:sz w:val="28"/>
          <w:szCs w:val="28"/>
        </w:rPr>
      </w:pPr>
    </w:p>
    <w:p w14:paraId="55CFE3CD" w14:textId="77777777" w:rsidR="00BC5090" w:rsidRPr="007B51A0" w:rsidRDefault="00BC5090" w:rsidP="00BC5090">
      <w:pPr>
        <w:spacing w:after="0" w:line="240" w:lineRule="exact"/>
        <w:ind w:right="-284"/>
        <w:contextualSpacing/>
        <w:jc w:val="both"/>
        <w:rPr>
          <w:rFonts w:ascii="Times New Roman" w:hAnsi="Times New Roman"/>
          <w:sz w:val="28"/>
          <w:szCs w:val="28"/>
        </w:rPr>
      </w:pPr>
      <w:r w:rsidRPr="007B51A0">
        <w:rPr>
          <w:rFonts w:ascii="Times New Roman" w:hAnsi="Times New Roman"/>
          <w:sz w:val="28"/>
          <w:szCs w:val="28"/>
        </w:rPr>
        <w:t>советник юстиции</w:t>
      </w:r>
      <w:r w:rsidRPr="007B51A0">
        <w:rPr>
          <w:rFonts w:ascii="Times New Roman" w:hAnsi="Times New Roman"/>
          <w:sz w:val="28"/>
          <w:szCs w:val="28"/>
        </w:rPr>
        <w:tab/>
      </w:r>
      <w:r w:rsidRPr="007B51A0">
        <w:rPr>
          <w:rFonts w:ascii="Times New Roman" w:hAnsi="Times New Roman"/>
          <w:sz w:val="28"/>
          <w:szCs w:val="28"/>
        </w:rPr>
        <w:tab/>
      </w:r>
      <w:r w:rsidRPr="007B51A0">
        <w:rPr>
          <w:rFonts w:ascii="Times New Roman" w:hAnsi="Times New Roman"/>
          <w:sz w:val="28"/>
          <w:szCs w:val="28"/>
        </w:rPr>
        <w:tab/>
      </w:r>
      <w:r w:rsidRPr="007B51A0">
        <w:rPr>
          <w:rFonts w:ascii="Times New Roman" w:hAnsi="Times New Roman"/>
          <w:sz w:val="28"/>
          <w:szCs w:val="28"/>
        </w:rPr>
        <w:tab/>
      </w:r>
      <w:r w:rsidRPr="007B51A0">
        <w:rPr>
          <w:rFonts w:ascii="Times New Roman" w:hAnsi="Times New Roman"/>
          <w:sz w:val="28"/>
          <w:szCs w:val="28"/>
        </w:rPr>
        <w:tab/>
      </w:r>
      <w:r w:rsidRPr="007B51A0">
        <w:rPr>
          <w:rFonts w:ascii="Times New Roman" w:hAnsi="Times New Roman"/>
          <w:sz w:val="28"/>
          <w:szCs w:val="28"/>
        </w:rPr>
        <w:tab/>
        <w:t xml:space="preserve">                            </w:t>
      </w:r>
      <w:r>
        <w:rPr>
          <w:rFonts w:ascii="Times New Roman" w:hAnsi="Times New Roman"/>
          <w:sz w:val="28"/>
          <w:szCs w:val="28"/>
        </w:rPr>
        <w:t xml:space="preserve">Г.Д. </w:t>
      </w:r>
      <w:proofErr w:type="spellStart"/>
      <w:r>
        <w:rPr>
          <w:rFonts w:ascii="Times New Roman" w:hAnsi="Times New Roman"/>
          <w:sz w:val="28"/>
          <w:szCs w:val="28"/>
        </w:rPr>
        <w:t>Шулунов</w:t>
      </w:r>
      <w:proofErr w:type="spellEnd"/>
    </w:p>
    <w:p w14:paraId="4B7375EF" w14:textId="77777777" w:rsidR="00BC5090" w:rsidRPr="00ED51FB" w:rsidRDefault="00BC5090" w:rsidP="0092549D">
      <w:pPr>
        <w:spacing w:after="0" w:line="240" w:lineRule="auto"/>
        <w:ind w:firstLine="708"/>
        <w:jc w:val="both"/>
        <w:rPr>
          <w:sz w:val="26"/>
          <w:szCs w:val="26"/>
        </w:rPr>
      </w:pPr>
    </w:p>
    <w:sectPr w:rsidR="00BC5090" w:rsidRPr="00ED51FB" w:rsidSect="007A3983">
      <w:pgSz w:w="11906" w:h="16838"/>
      <w:pgMar w:top="1134"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92DA8"/>
    <w:rsid w:val="00062D0E"/>
    <w:rsid w:val="0009341C"/>
    <w:rsid w:val="000F2259"/>
    <w:rsid w:val="003D25AD"/>
    <w:rsid w:val="00451C3A"/>
    <w:rsid w:val="004B2B28"/>
    <w:rsid w:val="0052615F"/>
    <w:rsid w:val="005F0657"/>
    <w:rsid w:val="005F394A"/>
    <w:rsid w:val="007A3983"/>
    <w:rsid w:val="0092549D"/>
    <w:rsid w:val="00997D7D"/>
    <w:rsid w:val="00A92170"/>
    <w:rsid w:val="00AF5DAF"/>
    <w:rsid w:val="00BC5090"/>
    <w:rsid w:val="00DF773A"/>
    <w:rsid w:val="00E027A4"/>
    <w:rsid w:val="00E52818"/>
    <w:rsid w:val="00E92DA8"/>
    <w:rsid w:val="00ED51FB"/>
    <w:rsid w:val="00F105D0"/>
    <w:rsid w:val="00FD6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6534"/>
  <w15:docId w15:val="{10630A77-B45D-4355-8CED-6665BF47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04171">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sChild>
        <w:div w:id="1944726629">
          <w:marLeft w:val="0"/>
          <w:marRight w:val="0"/>
          <w:marTop w:val="0"/>
          <w:marBottom w:val="0"/>
          <w:divBdr>
            <w:top w:val="none" w:sz="0" w:space="0" w:color="auto"/>
            <w:left w:val="none" w:sz="0" w:space="0" w:color="auto"/>
            <w:bottom w:val="none" w:sz="0" w:space="0" w:color="auto"/>
            <w:right w:val="none" w:sz="0" w:space="0" w:color="auto"/>
          </w:divBdr>
          <w:divsChild>
            <w:div w:id="105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8543">
      <w:bodyDiv w:val="1"/>
      <w:marLeft w:val="0"/>
      <w:marRight w:val="0"/>
      <w:marTop w:val="0"/>
      <w:marBottom w:val="0"/>
      <w:divBdr>
        <w:top w:val="none" w:sz="0" w:space="0" w:color="auto"/>
        <w:left w:val="none" w:sz="0" w:space="0" w:color="auto"/>
        <w:bottom w:val="none" w:sz="0" w:space="0" w:color="auto"/>
        <w:right w:val="none" w:sz="0" w:space="0" w:color="auto"/>
      </w:divBdr>
    </w:div>
    <w:div w:id="1380327189">
      <w:bodyDiv w:val="1"/>
      <w:marLeft w:val="0"/>
      <w:marRight w:val="0"/>
      <w:marTop w:val="0"/>
      <w:marBottom w:val="0"/>
      <w:divBdr>
        <w:top w:val="none" w:sz="0" w:space="0" w:color="auto"/>
        <w:left w:val="none" w:sz="0" w:space="0" w:color="auto"/>
        <w:bottom w:val="none" w:sz="0" w:space="0" w:color="auto"/>
        <w:right w:val="none" w:sz="0" w:space="0" w:color="auto"/>
      </w:divBdr>
    </w:div>
    <w:div w:id="1592229538">
      <w:bodyDiv w:val="1"/>
      <w:marLeft w:val="0"/>
      <w:marRight w:val="0"/>
      <w:marTop w:val="0"/>
      <w:marBottom w:val="0"/>
      <w:divBdr>
        <w:top w:val="none" w:sz="0" w:space="0" w:color="auto"/>
        <w:left w:val="none" w:sz="0" w:space="0" w:color="auto"/>
        <w:bottom w:val="none" w:sz="0" w:space="0" w:color="auto"/>
        <w:right w:val="none" w:sz="0" w:space="0" w:color="auto"/>
      </w:divBdr>
    </w:div>
    <w:div w:id="1638101970">
      <w:bodyDiv w:val="1"/>
      <w:marLeft w:val="0"/>
      <w:marRight w:val="0"/>
      <w:marTop w:val="0"/>
      <w:marBottom w:val="0"/>
      <w:divBdr>
        <w:top w:val="none" w:sz="0" w:space="0" w:color="auto"/>
        <w:left w:val="none" w:sz="0" w:space="0" w:color="auto"/>
        <w:bottom w:val="none" w:sz="0" w:space="0" w:color="auto"/>
        <w:right w:val="none" w:sz="0" w:space="0" w:color="auto"/>
      </w:divBdr>
    </w:div>
    <w:div w:id="17097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Плешува Альмира Алексеевна</cp:lastModifiedBy>
  <cp:revision>7</cp:revision>
  <cp:lastPrinted>2019-05-31T04:50:00Z</cp:lastPrinted>
  <dcterms:created xsi:type="dcterms:W3CDTF">2019-06-03T03:32:00Z</dcterms:created>
  <dcterms:modified xsi:type="dcterms:W3CDTF">2020-12-29T01:58:00Z</dcterms:modified>
</cp:coreProperties>
</file>