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F7" w:rsidRPr="009B4AA1" w:rsidRDefault="00734DF7" w:rsidP="00734DF7">
      <w:pPr>
        <w:tabs>
          <w:tab w:val="left" w:pos="7785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9B4AA1">
        <w:rPr>
          <w:rFonts w:ascii="Times New Roman" w:hAnsi="Times New Roman" w:cs="Times New Roman"/>
          <w:b/>
          <w:sz w:val="22"/>
          <w:szCs w:val="22"/>
        </w:rPr>
        <w:t>УТВЕРЖДАЮ:</w:t>
      </w:r>
    </w:p>
    <w:p w:rsidR="00734DF7" w:rsidRPr="009B4AA1" w:rsidRDefault="00734DF7" w:rsidP="00734DF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Заместитель главы </w:t>
      </w:r>
      <w:proofErr w:type="spellStart"/>
      <w:proofErr w:type="gram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 городского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734DF7" w:rsidRPr="009B4AA1" w:rsidRDefault="00734DF7" w:rsidP="00734DF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_____________О.К. Кузнецова</w:t>
      </w:r>
    </w:p>
    <w:p w:rsidR="00734DF7" w:rsidRPr="009B4AA1" w:rsidRDefault="00734DF7" w:rsidP="00734DF7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«_______» ________20</w:t>
      </w:r>
      <w:r w:rsidR="00B87050" w:rsidRPr="009B4AA1">
        <w:rPr>
          <w:rFonts w:ascii="Times New Roman" w:hAnsi="Times New Roman" w:cs="Times New Roman"/>
          <w:sz w:val="22"/>
          <w:szCs w:val="22"/>
        </w:rPr>
        <w:t>20</w:t>
      </w:r>
      <w:r w:rsidRPr="009B4AA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34DF7" w:rsidRPr="009B4AA1" w:rsidRDefault="00734DF7" w:rsidP="00734DF7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</w:p>
    <w:p w:rsidR="009B4AA1" w:rsidRPr="009B4AA1" w:rsidRDefault="009B4AA1" w:rsidP="009B4AA1">
      <w:pPr>
        <w:rPr>
          <w:sz w:val="22"/>
          <w:szCs w:val="22"/>
        </w:rPr>
      </w:pPr>
    </w:p>
    <w:p w:rsidR="00734DF7" w:rsidRPr="009B4AA1" w:rsidRDefault="00734DF7" w:rsidP="00734DF7">
      <w:pPr>
        <w:pStyle w:val="a5"/>
        <w:tabs>
          <w:tab w:val="left" w:pos="315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ab/>
      </w:r>
    </w:p>
    <w:p w:rsidR="00734DF7" w:rsidRPr="009B4AA1" w:rsidRDefault="00734DF7" w:rsidP="00734DF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b/>
          <w:sz w:val="22"/>
          <w:szCs w:val="22"/>
        </w:rPr>
        <w:t xml:space="preserve">Отчет о реализации муниципальной программы «Муниципальное управление» на период 2015–2022 </w:t>
      </w:r>
      <w:proofErr w:type="gramStart"/>
      <w:r w:rsidRPr="009B4AA1">
        <w:rPr>
          <w:rFonts w:ascii="Times New Roman" w:hAnsi="Times New Roman" w:cs="Times New Roman"/>
          <w:b/>
          <w:sz w:val="22"/>
          <w:szCs w:val="22"/>
        </w:rPr>
        <w:t>годов»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r w:rsidRPr="009B4AA1">
        <w:rPr>
          <w:rStyle w:val="a3"/>
          <w:rFonts w:ascii="Times New Roman" w:hAnsi="Times New Roman" w:cs="Times New Roman"/>
          <w:color w:val="auto"/>
          <w:sz w:val="22"/>
          <w:szCs w:val="22"/>
        </w:rPr>
        <w:t>(</w:t>
      </w:r>
      <w:proofErr w:type="gramEnd"/>
      <w:r w:rsidRPr="009B4AA1">
        <w:rPr>
          <w:rStyle w:val="a3"/>
          <w:rFonts w:ascii="Times New Roman" w:hAnsi="Times New Roman" w:cs="Times New Roman"/>
          <w:color w:val="auto"/>
          <w:sz w:val="22"/>
          <w:szCs w:val="22"/>
        </w:rPr>
        <w:t>далее-  муниципальная программа) за  2019 год</w:t>
      </w:r>
    </w:p>
    <w:p w:rsidR="00734DF7" w:rsidRPr="009B4AA1" w:rsidRDefault="00734DF7" w:rsidP="00734DF7">
      <w:pPr>
        <w:rPr>
          <w:rFonts w:ascii="Times New Roman" w:hAnsi="Times New Roman" w:cs="Times New Roman"/>
          <w:sz w:val="22"/>
          <w:szCs w:val="22"/>
        </w:rPr>
      </w:pP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    Целью муниципальной программы является совершенствование механизмов управления экономическим развитием, повышение эффективности деятельности администрации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городского поселения, повышение эффективности управления и распоряжения муниципальной собственностью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     В рамках муниципальной программы «Муниципальное управление» отделом по управлению муниципальным имуществом и жилищно-социальным вопросам (далее- отдел УМИ) проведены мероприятия по </w:t>
      </w:r>
      <w:r w:rsidR="00B87050" w:rsidRPr="009B4AA1">
        <w:rPr>
          <w:rFonts w:ascii="Times New Roman" w:hAnsi="Times New Roman" w:cs="Times New Roman"/>
          <w:sz w:val="22"/>
          <w:szCs w:val="22"/>
        </w:rPr>
        <w:t xml:space="preserve">выявлению бесхозяйных объектов ЖКХ и оформлению их в муниципальную собственность </w:t>
      </w:r>
      <w:proofErr w:type="spellStart"/>
      <w:r w:rsidR="00B87050"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="00B87050"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 В результате мероприятий выявлено 8 объектов, за счет местного бюджета проведена </w:t>
      </w:r>
      <w:proofErr w:type="gramStart"/>
      <w:r w:rsidR="00B87050" w:rsidRPr="009B4AA1">
        <w:rPr>
          <w:rFonts w:ascii="Times New Roman" w:hAnsi="Times New Roman" w:cs="Times New Roman"/>
          <w:sz w:val="22"/>
          <w:szCs w:val="22"/>
        </w:rPr>
        <w:t xml:space="preserve">их  </w:t>
      </w:r>
      <w:r w:rsidRPr="009B4AA1">
        <w:rPr>
          <w:rFonts w:ascii="Times New Roman" w:hAnsi="Times New Roman" w:cs="Times New Roman"/>
          <w:sz w:val="22"/>
          <w:szCs w:val="22"/>
        </w:rPr>
        <w:t>паспортизаци</w:t>
      </w:r>
      <w:r w:rsidR="00B87050" w:rsidRPr="009B4AA1">
        <w:rPr>
          <w:rFonts w:ascii="Times New Roman" w:hAnsi="Times New Roman" w:cs="Times New Roman"/>
          <w:sz w:val="22"/>
          <w:szCs w:val="22"/>
        </w:rPr>
        <w:t>я</w:t>
      </w:r>
      <w:proofErr w:type="gramEnd"/>
      <w:r w:rsidR="00B87050" w:rsidRPr="009B4AA1">
        <w:rPr>
          <w:rFonts w:ascii="Times New Roman" w:hAnsi="Times New Roman" w:cs="Times New Roman"/>
          <w:sz w:val="22"/>
          <w:szCs w:val="22"/>
        </w:rPr>
        <w:t xml:space="preserve"> с постановкой на кадастровый учет: 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теплов</w:t>
      </w:r>
      <w:r w:rsidR="00B87050" w:rsidRPr="009B4AA1">
        <w:rPr>
          <w:rFonts w:ascii="Times New Roman" w:hAnsi="Times New Roman" w:cs="Times New Roman"/>
          <w:sz w:val="22"/>
          <w:szCs w:val="22"/>
        </w:rPr>
        <w:t xml:space="preserve">ые сети: </w:t>
      </w:r>
      <w:r w:rsidRPr="009B4AA1">
        <w:rPr>
          <w:rFonts w:ascii="Times New Roman" w:hAnsi="Times New Roman" w:cs="Times New Roman"/>
          <w:sz w:val="22"/>
          <w:szCs w:val="22"/>
        </w:rPr>
        <w:t xml:space="preserve">по пер. Почтовый, 3, </w:t>
      </w:r>
      <w:r w:rsidR="00B87050" w:rsidRPr="009B4AA1">
        <w:rPr>
          <w:rFonts w:ascii="Times New Roman" w:hAnsi="Times New Roman" w:cs="Times New Roman"/>
          <w:sz w:val="22"/>
          <w:szCs w:val="22"/>
        </w:rPr>
        <w:t xml:space="preserve">по ул. Строительная №№ 1,2,3,4,5, от ТК-6-3-17 по ул. Олега Кошевого до жилого дома по ул. Октябрьской; кабельные линии: по ул. Петра </w:t>
      </w:r>
      <w:proofErr w:type="spellStart"/>
      <w:r w:rsidR="00B87050" w:rsidRPr="009B4AA1">
        <w:rPr>
          <w:rFonts w:ascii="Times New Roman" w:hAnsi="Times New Roman" w:cs="Times New Roman"/>
          <w:sz w:val="22"/>
          <w:szCs w:val="22"/>
        </w:rPr>
        <w:t>Поручикова</w:t>
      </w:r>
      <w:proofErr w:type="spellEnd"/>
      <w:r w:rsidR="00B87050" w:rsidRPr="009B4AA1">
        <w:rPr>
          <w:rFonts w:ascii="Times New Roman" w:hAnsi="Times New Roman" w:cs="Times New Roman"/>
          <w:sz w:val="22"/>
          <w:szCs w:val="22"/>
        </w:rPr>
        <w:t xml:space="preserve"> №№ 4,4АА,4АВ,4БА,4 Б</w:t>
      </w:r>
      <w:r w:rsidR="00685F3D" w:rsidRPr="009B4AA1">
        <w:rPr>
          <w:rFonts w:ascii="Times New Roman" w:hAnsi="Times New Roman" w:cs="Times New Roman"/>
          <w:sz w:val="22"/>
          <w:szCs w:val="22"/>
        </w:rPr>
        <w:t xml:space="preserve">. Отделом УМИ проведена паспортизация и оформление права муниципальной собственности объектов: </w:t>
      </w:r>
      <w:r w:rsidRPr="009B4AA1">
        <w:rPr>
          <w:rFonts w:ascii="Times New Roman" w:hAnsi="Times New Roman" w:cs="Times New Roman"/>
          <w:sz w:val="22"/>
          <w:szCs w:val="22"/>
        </w:rPr>
        <w:t xml:space="preserve">здание ЦТП № 6, </w:t>
      </w:r>
      <w:r w:rsidR="0057086C" w:rsidRPr="009B4AA1">
        <w:rPr>
          <w:rFonts w:ascii="Times New Roman" w:hAnsi="Times New Roman" w:cs="Times New Roman"/>
          <w:sz w:val="22"/>
          <w:szCs w:val="22"/>
        </w:rPr>
        <w:t xml:space="preserve">защитная дамба, </w:t>
      </w:r>
      <w:r w:rsidRPr="009B4AA1">
        <w:rPr>
          <w:rFonts w:ascii="Times New Roman" w:hAnsi="Times New Roman" w:cs="Times New Roman"/>
          <w:sz w:val="22"/>
          <w:szCs w:val="22"/>
        </w:rPr>
        <w:t>квартира № 14 по ул. МК-135 дом 79. В рамках программы отделом УМИ проведена паспортизация по 13 многоквартирным аварийным домам (</w:t>
      </w:r>
      <w:r w:rsidR="0057086C" w:rsidRPr="009B4AA1">
        <w:rPr>
          <w:rFonts w:ascii="Times New Roman" w:hAnsi="Times New Roman" w:cs="Times New Roman"/>
          <w:sz w:val="22"/>
          <w:szCs w:val="22"/>
        </w:rPr>
        <w:t>ул.</w:t>
      </w:r>
      <w:r w:rsidRPr="009B4AA1">
        <w:rPr>
          <w:rFonts w:ascii="Times New Roman" w:hAnsi="Times New Roman" w:cs="Times New Roman"/>
          <w:sz w:val="22"/>
          <w:szCs w:val="22"/>
        </w:rPr>
        <w:t>60 лет Октября №№78,79,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81,  ул.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Таежная №6, ул. Труда №№1,2,3,4,6, ул. Разведчиков №№ 3,5,7,9) для снятия их с кадастрового учета.  Также, отделом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УМИ  проведены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мероприятия по паспортизации и оформлению права муниципальной собственности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по 4 автомобильным дорогам (ул. Депутатская, ул. Лисий, ул.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Лыткинская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>, ул. 8 Марта), общей протяженностью 2,5 км</w:t>
      </w:r>
      <w:r w:rsidR="00685F3D" w:rsidRPr="009B4AA1">
        <w:rPr>
          <w:rFonts w:ascii="Times New Roman" w:hAnsi="Times New Roman" w:cs="Times New Roman"/>
          <w:sz w:val="22"/>
          <w:szCs w:val="22"/>
        </w:rPr>
        <w:t xml:space="preserve">, 2 дренажам по ул. Петра </w:t>
      </w:r>
      <w:proofErr w:type="spellStart"/>
      <w:r w:rsidR="00685F3D" w:rsidRPr="009B4AA1">
        <w:rPr>
          <w:rFonts w:ascii="Times New Roman" w:hAnsi="Times New Roman" w:cs="Times New Roman"/>
          <w:sz w:val="22"/>
          <w:szCs w:val="22"/>
        </w:rPr>
        <w:t>Поручикова</w:t>
      </w:r>
      <w:proofErr w:type="spellEnd"/>
      <w:r w:rsidR="00685F3D" w:rsidRPr="009B4AA1">
        <w:rPr>
          <w:rFonts w:ascii="Times New Roman" w:hAnsi="Times New Roman" w:cs="Times New Roman"/>
          <w:sz w:val="22"/>
          <w:szCs w:val="22"/>
        </w:rPr>
        <w:t>, ул. Ремесленной, общей протяженностью 4344 м</w:t>
      </w:r>
      <w:r w:rsidRPr="009B4AA1">
        <w:rPr>
          <w:rFonts w:ascii="Times New Roman" w:hAnsi="Times New Roman" w:cs="Times New Roman"/>
          <w:sz w:val="22"/>
          <w:szCs w:val="22"/>
        </w:rPr>
        <w:t>.</w:t>
      </w:r>
      <w:r w:rsidR="00E8667A">
        <w:rPr>
          <w:rFonts w:ascii="Times New Roman" w:hAnsi="Times New Roman" w:cs="Times New Roman"/>
          <w:sz w:val="22"/>
          <w:szCs w:val="22"/>
        </w:rPr>
        <w:t>, 33 земельным участкам.</w:t>
      </w:r>
      <w:r w:rsidRPr="009B4AA1">
        <w:rPr>
          <w:rFonts w:ascii="Times New Roman" w:hAnsi="Times New Roman" w:cs="Times New Roman"/>
          <w:sz w:val="22"/>
          <w:szCs w:val="22"/>
        </w:rPr>
        <w:t xml:space="preserve">  </w:t>
      </w:r>
      <w:r w:rsidR="00047849">
        <w:rPr>
          <w:rFonts w:ascii="Times New Roman" w:hAnsi="Times New Roman" w:cs="Times New Roman"/>
          <w:sz w:val="22"/>
          <w:szCs w:val="22"/>
        </w:rPr>
        <w:t>В рамках программы переданы в аренду (собственность) 115 земельных участков.</w:t>
      </w:r>
    </w:p>
    <w:p w:rsidR="00D63201" w:rsidRPr="009B4AA1" w:rsidRDefault="00734DF7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Отделом УМИ зарегистрировано право муниципальной собственности на </w:t>
      </w:r>
      <w:r w:rsidR="00BF6617" w:rsidRPr="009B4AA1">
        <w:rPr>
          <w:rFonts w:ascii="Times New Roman" w:hAnsi="Times New Roman" w:cs="Times New Roman"/>
          <w:sz w:val="22"/>
          <w:szCs w:val="22"/>
        </w:rPr>
        <w:t>44</w:t>
      </w:r>
      <w:r w:rsidRPr="009B4AA1">
        <w:rPr>
          <w:rFonts w:ascii="Times New Roman" w:hAnsi="Times New Roman" w:cs="Times New Roman"/>
          <w:sz w:val="22"/>
          <w:szCs w:val="22"/>
        </w:rPr>
        <w:t xml:space="preserve"> квартир</w:t>
      </w:r>
      <w:r w:rsidR="0057591D" w:rsidRPr="009B4AA1">
        <w:rPr>
          <w:rFonts w:ascii="Times New Roman" w:hAnsi="Times New Roman" w:cs="Times New Roman"/>
          <w:sz w:val="22"/>
          <w:szCs w:val="22"/>
        </w:rPr>
        <w:t>ы</w:t>
      </w:r>
      <w:r w:rsidRPr="009B4AA1">
        <w:rPr>
          <w:rFonts w:ascii="Times New Roman" w:hAnsi="Times New Roman" w:cs="Times New Roman"/>
          <w:sz w:val="22"/>
          <w:szCs w:val="22"/>
        </w:rPr>
        <w:t xml:space="preserve">. Закреплены в муниципальную казну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1</w:t>
      </w:r>
      <w:r w:rsidR="00DC6E76" w:rsidRPr="009B4AA1">
        <w:rPr>
          <w:rFonts w:ascii="Times New Roman" w:hAnsi="Times New Roman" w:cs="Times New Roman"/>
          <w:sz w:val="22"/>
          <w:szCs w:val="22"/>
        </w:rPr>
        <w:t>9</w:t>
      </w:r>
      <w:r w:rsidRPr="009B4AA1">
        <w:rPr>
          <w:rFonts w:ascii="Times New Roman" w:hAnsi="Times New Roman" w:cs="Times New Roman"/>
          <w:sz w:val="22"/>
          <w:szCs w:val="22"/>
        </w:rPr>
        <w:t xml:space="preserve"> земельных участков. </w:t>
      </w:r>
      <w:r w:rsidR="00D63201" w:rsidRPr="009B4AA1">
        <w:rPr>
          <w:rFonts w:ascii="Times New Roman" w:hAnsi="Times New Roman" w:cs="Times New Roman"/>
          <w:sz w:val="22"/>
          <w:szCs w:val="22"/>
        </w:rPr>
        <w:t xml:space="preserve">В   рамках   программы   приобретены    и    установлены в   г. Бодайбо: </w:t>
      </w:r>
    </w:p>
    <w:p w:rsidR="00D63201" w:rsidRPr="009B4AA1" w:rsidRDefault="00D63201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>-</w:t>
      </w:r>
      <w:r w:rsidR="00734DF7" w:rsidRPr="009B4AA1">
        <w:rPr>
          <w:rFonts w:ascii="Times New Roman" w:hAnsi="Times New Roman" w:cs="Times New Roman"/>
          <w:sz w:val="22"/>
          <w:szCs w:val="22"/>
        </w:rPr>
        <w:t xml:space="preserve"> 2 автономных светофора</w:t>
      </w:r>
      <w:r w:rsidR="00DC6E76" w:rsidRPr="009B4AA1">
        <w:rPr>
          <w:rFonts w:ascii="Times New Roman" w:hAnsi="Times New Roman" w:cs="Times New Roman"/>
          <w:sz w:val="22"/>
          <w:szCs w:val="22"/>
        </w:rPr>
        <w:t xml:space="preserve"> (</w:t>
      </w:r>
      <w:r w:rsidRPr="009B4AA1">
        <w:rPr>
          <w:rFonts w:ascii="Times New Roman" w:hAnsi="Times New Roman" w:cs="Times New Roman"/>
          <w:sz w:val="22"/>
          <w:szCs w:val="22"/>
        </w:rPr>
        <w:t>на пешеходном переходе по ул. Карла Либкнехта</w:t>
      </w:r>
      <w:r w:rsidR="00DC6E76" w:rsidRPr="009B4AA1">
        <w:rPr>
          <w:rFonts w:ascii="Times New Roman" w:hAnsi="Times New Roman" w:cs="Times New Roman"/>
          <w:sz w:val="22"/>
          <w:szCs w:val="22"/>
        </w:rPr>
        <w:t>,</w:t>
      </w:r>
      <w:r w:rsidRPr="009B4AA1">
        <w:rPr>
          <w:rFonts w:ascii="Times New Roman" w:hAnsi="Times New Roman" w:cs="Times New Roman"/>
          <w:sz w:val="22"/>
          <w:szCs w:val="22"/>
        </w:rPr>
        <w:t xml:space="preserve"> 2</w:t>
      </w:r>
      <w:r w:rsidR="00DC6E76" w:rsidRPr="009B4AA1">
        <w:rPr>
          <w:rFonts w:ascii="Times New Roman" w:hAnsi="Times New Roman" w:cs="Times New Roman"/>
          <w:sz w:val="22"/>
          <w:szCs w:val="22"/>
        </w:rPr>
        <w:t>)</w:t>
      </w:r>
      <w:r w:rsidRPr="009B4AA1">
        <w:rPr>
          <w:rFonts w:ascii="Times New Roman" w:hAnsi="Times New Roman" w:cs="Times New Roman"/>
          <w:sz w:val="22"/>
          <w:szCs w:val="22"/>
        </w:rPr>
        <w:t>;</w:t>
      </w:r>
    </w:p>
    <w:p w:rsidR="00D63201" w:rsidRPr="009B4AA1" w:rsidRDefault="00D63201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>- 22</w:t>
      </w:r>
      <w:r w:rsidR="00734DF7" w:rsidRPr="009B4AA1">
        <w:rPr>
          <w:rFonts w:ascii="Times New Roman" w:hAnsi="Times New Roman" w:cs="Times New Roman"/>
          <w:sz w:val="22"/>
          <w:szCs w:val="22"/>
        </w:rPr>
        <w:t xml:space="preserve"> контейнер</w:t>
      </w:r>
      <w:r w:rsidRPr="009B4AA1">
        <w:rPr>
          <w:rFonts w:ascii="Times New Roman" w:hAnsi="Times New Roman" w:cs="Times New Roman"/>
          <w:sz w:val="22"/>
          <w:szCs w:val="22"/>
        </w:rPr>
        <w:t>а</w:t>
      </w:r>
      <w:r w:rsidR="00734DF7" w:rsidRPr="009B4AA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34DF7" w:rsidRPr="009B4AA1">
        <w:rPr>
          <w:rFonts w:ascii="Times New Roman" w:hAnsi="Times New Roman" w:cs="Times New Roman"/>
          <w:sz w:val="22"/>
          <w:szCs w:val="22"/>
        </w:rPr>
        <w:t>для сбору</w:t>
      </w:r>
      <w:proofErr w:type="gramEnd"/>
      <w:r w:rsidR="00734DF7" w:rsidRPr="009B4AA1">
        <w:rPr>
          <w:rFonts w:ascii="Times New Roman" w:hAnsi="Times New Roman" w:cs="Times New Roman"/>
          <w:sz w:val="22"/>
          <w:szCs w:val="22"/>
        </w:rPr>
        <w:t xml:space="preserve"> ТБО</w:t>
      </w:r>
      <w:r w:rsidRPr="009B4AA1">
        <w:rPr>
          <w:rFonts w:ascii="Times New Roman" w:hAnsi="Times New Roman" w:cs="Times New Roman"/>
          <w:sz w:val="22"/>
          <w:szCs w:val="22"/>
        </w:rPr>
        <w:t>;</w:t>
      </w:r>
    </w:p>
    <w:p w:rsidR="00D63201" w:rsidRPr="009B4AA1" w:rsidRDefault="00D63201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- </w:t>
      </w:r>
      <w:r w:rsidR="00DC6E76" w:rsidRPr="009B4AA1">
        <w:rPr>
          <w:rFonts w:ascii="Times New Roman" w:hAnsi="Times New Roman" w:cs="Times New Roman"/>
          <w:sz w:val="22"/>
          <w:szCs w:val="22"/>
        </w:rPr>
        <w:t>62</w:t>
      </w:r>
      <w:r w:rsidRPr="009B4AA1">
        <w:rPr>
          <w:rFonts w:ascii="Times New Roman" w:hAnsi="Times New Roman" w:cs="Times New Roman"/>
          <w:sz w:val="22"/>
          <w:szCs w:val="22"/>
        </w:rPr>
        <w:t xml:space="preserve"> дорожны</w:t>
      </w:r>
      <w:r w:rsidR="00DC6E76" w:rsidRPr="009B4AA1">
        <w:rPr>
          <w:rFonts w:ascii="Times New Roman" w:hAnsi="Times New Roman" w:cs="Times New Roman"/>
          <w:sz w:val="22"/>
          <w:szCs w:val="22"/>
        </w:rPr>
        <w:t>х</w:t>
      </w:r>
      <w:r w:rsidRPr="009B4AA1">
        <w:rPr>
          <w:rFonts w:ascii="Times New Roman" w:hAnsi="Times New Roman" w:cs="Times New Roman"/>
          <w:sz w:val="22"/>
          <w:szCs w:val="22"/>
        </w:rPr>
        <w:t xml:space="preserve"> знак</w:t>
      </w:r>
      <w:r w:rsidR="00DC6E76" w:rsidRPr="009B4AA1">
        <w:rPr>
          <w:rFonts w:ascii="Times New Roman" w:hAnsi="Times New Roman" w:cs="Times New Roman"/>
          <w:sz w:val="22"/>
          <w:szCs w:val="22"/>
        </w:rPr>
        <w:t>а</w:t>
      </w:r>
      <w:r w:rsidRPr="009B4AA1">
        <w:rPr>
          <w:rFonts w:ascii="Times New Roman" w:hAnsi="Times New Roman" w:cs="Times New Roman"/>
          <w:sz w:val="22"/>
          <w:szCs w:val="22"/>
        </w:rPr>
        <w:t>;</w:t>
      </w:r>
    </w:p>
    <w:p w:rsidR="00DC6E76" w:rsidRPr="009B4AA1" w:rsidRDefault="00DC6E76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>- 2 зеркала дорожных;</w:t>
      </w:r>
    </w:p>
    <w:p w:rsidR="00DC6E76" w:rsidRPr="009B4AA1" w:rsidRDefault="00DC6E76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- 2 искусственные неровности по ул.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Стояновича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>, ул. Ремесленной;</w:t>
      </w:r>
    </w:p>
    <w:p w:rsidR="00F87420" w:rsidRPr="009B4AA1" w:rsidRDefault="00F87420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>- праздничное новогоднее оформление;</w:t>
      </w:r>
    </w:p>
    <w:p w:rsidR="00D63201" w:rsidRPr="009B4AA1" w:rsidRDefault="00734DF7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BF6617" w:rsidRPr="009B4AA1">
        <w:rPr>
          <w:rFonts w:ascii="Times New Roman" w:hAnsi="Times New Roman" w:cs="Times New Roman"/>
          <w:sz w:val="22"/>
          <w:szCs w:val="22"/>
        </w:rPr>
        <w:t xml:space="preserve">В рамках программы </w:t>
      </w:r>
      <w:r w:rsidR="00D63201" w:rsidRPr="009B4AA1">
        <w:rPr>
          <w:rFonts w:ascii="Times New Roman" w:hAnsi="Times New Roman" w:cs="Times New Roman"/>
          <w:sz w:val="22"/>
          <w:szCs w:val="22"/>
        </w:rPr>
        <w:t xml:space="preserve">проведены мероприятия по </w:t>
      </w:r>
      <w:r w:rsidR="00E4508B" w:rsidRPr="009B4AA1">
        <w:rPr>
          <w:rFonts w:ascii="Times New Roman" w:hAnsi="Times New Roman" w:cs="Times New Roman"/>
          <w:sz w:val="22"/>
          <w:szCs w:val="22"/>
        </w:rPr>
        <w:t>изготовлен</w:t>
      </w:r>
      <w:r w:rsidR="00D63201" w:rsidRPr="009B4AA1">
        <w:rPr>
          <w:rFonts w:ascii="Times New Roman" w:hAnsi="Times New Roman" w:cs="Times New Roman"/>
          <w:sz w:val="22"/>
          <w:szCs w:val="22"/>
        </w:rPr>
        <w:t>ию в г. Бодайбо:</w:t>
      </w:r>
      <w:r w:rsidR="00E4508B" w:rsidRPr="009B4A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6E76" w:rsidRPr="009B4AA1" w:rsidRDefault="00D63201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46  контейнерных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площадок</w:t>
      </w:r>
      <w:r w:rsidR="00DC6E76" w:rsidRPr="009B4AA1">
        <w:rPr>
          <w:rFonts w:ascii="Times New Roman" w:hAnsi="Times New Roman" w:cs="Times New Roman"/>
          <w:sz w:val="22"/>
          <w:szCs w:val="22"/>
        </w:rPr>
        <w:t>;</w:t>
      </w:r>
    </w:p>
    <w:p w:rsidR="00DC6E76" w:rsidRPr="009B4AA1" w:rsidRDefault="00DC6E76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 xml:space="preserve">линии </w:t>
      </w:r>
      <w:r w:rsidR="00BF6617"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E4508B" w:rsidRPr="009B4AA1">
        <w:rPr>
          <w:rFonts w:ascii="Times New Roman" w:hAnsi="Times New Roman" w:cs="Times New Roman"/>
          <w:sz w:val="22"/>
          <w:szCs w:val="22"/>
        </w:rPr>
        <w:t>освещения</w:t>
      </w:r>
      <w:proofErr w:type="gramEnd"/>
      <w:r w:rsidR="00E4508B"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D63201" w:rsidRPr="009B4AA1">
        <w:rPr>
          <w:rFonts w:ascii="Times New Roman" w:hAnsi="Times New Roman" w:cs="Times New Roman"/>
          <w:sz w:val="22"/>
          <w:szCs w:val="22"/>
        </w:rPr>
        <w:t xml:space="preserve">по ул. Лесная </w:t>
      </w:r>
      <w:r w:rsidR="00E4508B" w:rsidRPr="009B4AA1">
        <w:rPr>
          <w:rFonts w:ascii="Times New Roman" w:hAnsi="Times New Roman" w:cs="Times New Roman"/>
          <w:sz w:val="22"/>
          <w:szCs w:val="22"/>
        </w:rPr>
        <w:t>(в том числе: опоры -16 шт.</w:t>
      </w:r>
      <w:r w:rsidR="00D63201" w:rsidRPr="009B4AA1">
        <w:rPr>
          <w:rFonts w:ascii="Times New Roman" w:hAnsi="Times New Roman" w:cs="Times New Roman"/>
          <w:sz w:val="22"/>
          <w:szCs w:val="22"/>
        </w:rPr>
        <w:t>, светильники – 16 шт.)</w:t>
      </w:r>
      <w:r w:rsidRPr="009B4AA1">
        <w:rPr>
          <w:rFonts w:ascii="Times New Roman" w:hAnsi="Times New Roman" w:cs="Times New Roman"/>
          <w:sz w:val="22"/>
          <w:szCs w:val="22"/>
        </w:rPr>
        <w:t>;</w:t>
      </w:r>
    </w:p>
    <w:p w:rsidR="00DC6E76" w:rsidRPr="009B4AA1" w:rsidRDefault="00DC6E76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- линии освещения по ул.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Березнеровская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(в том числе: опоры-3 шт., светильники- 4 шт.)</w:t>
      </w:r>
      <w:r w:rsidR="00D63201" w:rsidRPr="009B4A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87420" w:rsidRPr="009B4AA1" w:rsidRDefault="00F87420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Отделом УМИ проводится ежедневная работа по актуализации Реестра муниципального имущества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образования, в результате которой, исключены из реестра квартиры, оформленные гражданами в собственность (71 ед.), списан спортивный инвентарь (13 ед.), исключены детские комплексы (10 шт.).</w:t>
      </w:r>
    </w:p>
    <w:p w:rsidR="00734DF7" w:rsidRPr="009B4AA1" w:rsidRDefault="00DC6E76" w:rsidP="00734DF7">
      <w:pPr>
        <w:tabs>
          <w:tab w:val="left" w:pos="567"/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5F438F" w:rsidRPr="009B4AA1">
        <w:rPr>
          <w:rFonts w:ascii="Times New Roman" w:hAnsi="Times New Roman" w:cs="Times New Roman"/>
          <w:sz w:val="22"/>
          <w:szCs w:val="22"/>
        </w:rPr>
        <w:t xml:space="preserve">В 2019 году, </w:t>
      </w:r>
      <w:proofErr w:type="gramStart"/>
      <w:r w:rsidR="005F438F" w:rsidRPr="009B4AA1">
        <w:rPr>
          <w:rFonts w:ascii="Times New Roman" w:hAnsi="Times New Roman" w:cs="Times New Roman"/>
          <w:sz w:val="22"/>
          <w:szCs w:val="22"/>
        </w:rPr>
        <w:t xml:space="preserve">администрацией </w:t>
      </w:r>
      <w:r w:rsidRPr="009B4AA1">
        <w:rPr>
          <w:rFonts w:ascii="Times New Roman" w:hAnsi="Times New Roman" w:cs="Times New Roman"/>
          <w:sz w:val="22"/>
          <w:szCs w:val="22"/>
        </w:rPr>
        <w:t xml:space="preserve"> приобретены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3 пассажирских средства (автобусы ПАЗ 32054,  УАЗ-220695). </w:t>
      </w:r>
      <w:r w:rsidR="00734DF7" w:rsidRPr="009B4AA1">
        <w:rPr>
          <w:rFonts w:ascii="Times New Roman" w:hAnsi="Times New Roman" w:cs="Times New Roman"/>
          <w:sz w:val="22"/>
          <w:szCs w:val="22"/>
        </w:rPr>
        <w:t xml:space="preserve">Данное </w:t>
      </w:r>
      <w:r w:rsidRPr="009B4AA1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734DF7" w:rsidRPr="009B4AA1">
        <w:rPr>
          <w:rFonts w:ascii="Times New Roman" w:hAnsi="Times New Roman" w:cs="Times New Roman"/>
          <w:sz w:val="22"/>
          <w:szCs w:val="22"/>
        </w:rPr>
        <w:t xml:space="preserve">имущество закреплено в муниципальную казну </w:t>
      </w:r>
      <w:proofErr w:type="spellStart"/>
      <w:r w:rsidR="00734DF7"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="00734DF7"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</w:t>
      </w:r>
      <w:r w:rsidR="00F87420"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5F438F" w:rsidRPr="009B4AA1">
        <w:rPr>
          <w:rFonts w:ascii="Times New Roman" w:hAnsi="Times New Roman" w:cs="Times New Roman"/>
          <w:sz w:val="22"/>
          <w:szCs w:val="22"/>
        </w:rPr>
        <w:t>и передано в аренду ООО «УК Город»</w:t>
      </w:r>
      <w:r w:rsidR="00734DF7" w:rsidRPr="009B4AA1">
        <w:rPr>
          <w:rFonts w:ascii="Times New Roman" w:hAnsi="Times New Roman" w:cs="Times New Roman"/>
          <w:sz w:val="22"/>
          <w:szCs w:val="22"/>
        </w:rPr>
        <w:t>.</w:t>
      </w:r>
      <w:r w:rsidR="005F438F" w:rsidRPr="009B4AA1">
        <w:rPr>
          <w:rFonts w:ascii="Times New Roman" w:hAnsi="Times New Roman" w:cs="Times New Roman"/>
          <w:sz w:val="22"/>
          <w:szCs w:val="22"/>
        </w:rPr>
        <w:t xml:space="preserve"> В муниципальную собственность </w:t>
      </w:r>
      <w:proofErr w:type="spellStart"/>
      <w:r w:rsidR="005F438F"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="005F438F"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передано безвозмездно здание котельной ЛЗДТ, с земельным участком, оборудованием и 2 ед. транспорта, данное имущество передано в хозяйственное ведение МУП «ТВК».  </w:t>
      </w:r>
      <w:proofErr w:type="gramStart"/>
      <w:r w:rsidR="005F438F" w:rsidRPr="009B4AA1">
        <w:rPr>
          <w:rFonts w:ascii="Times New Roman" w:hAnsi="Times New Roman" w:cs="Times New Roman"/>
          <w:sz w:val="22"/>
          <w:szCs w:val="22"/>
        </w:rPr>
        <w:t>Также,  передано</w:t>
      </w:r>
      <w:proofErr w:type="gramEnd"/>
      <w:r w:rsidR="005F438F" w:rsidRPr="009B4AA1">
        <w:rPr>
          <w:rFonts w:ascii="Times New Roman" w:hAnsi="Times New Roman" w:cs="Times New Roman"/>
          <w:sz w:val="22"/>
          <w:szCs w:val="22"/>
        </w:rPr>
        <w:t xml:space="preserve">, приобретенное в рамках областных программ  оборудование ЖКХ, на сумму 14 359 708,91 рублей.   </w:t>
      </w:r>
    </w:p>
    <w:p w:rsidR="00734DF7" w:rsidRPr="009B4AA1" w:rsidRDefault="00734DF7" w:rsidP="00734DF7">
      <w:pPr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В первом полугодии 2019 года отделом велась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претензионно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-исковая работа по взысканию </w:t>
      </w:r>
      <w:r w:rsidRPr="009B4AA1">
        <w:rPr>
          <w:rFonts w:ascii="Times New Roman" w:hAnsi="Times New Roman" w:cs="Times New Roman"/>
          <w:sz w:val="22"/>
          <w:szCs w:val="22"/>
        </w:rPr>
        <w:lastRenderedPageBreak/>
        <w:t xml:space="preserve">задолженности по арендной плате за муниципальное имущество (эксплуатационные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услуги)-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выставлено 5 претензий на общую сумму-  885,1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тыс.руб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>.</w:t>
      </w:r>
    </w:p>
    <w:p w:rsidR="00734DF7" w:rsidRPr="009B4AA1" w:rsidRDefault="00734DF7" w:rsidP="00734DF7">
      <w:pPr>
        <w:tabs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Для проведения конкурсов (аукционов) на право заключения договоров аренды нежилых помещений (муниципального имущества) </w:t>
      </w:r>
      <w:proofErr w:type="spellStart"/>
      <w:r w:rsidRPr="009B4AA1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9B4AA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в первом полугодии 2019 году проведено 3 оценочных процедур рыночной стоимости аренды муниципального имущества. На основании отчетов по оценке рыночной стоимости аренды проведено 2 аукциона на право заключения договоров аренды нежилых помещений, расположенных в г. Бодайбо, по ул. Урицкого, 15, по результатам которых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заключены  2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долгосрочных договора аренды, также проведен аукцион на право заключения договора аренды муниципальной специальной техники. </w:t>
      </w:r>
    </w:p>
    <w:p w:rsidR="00734DF7" w:rsidRPr="009B4AA1" w:rsidRDefault="00734DF7" w:rsidP="00734DF7">
      <w:pPr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В связи с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 xml:space="preserve">тем, </w:t>
      </w:r>
      <w:r w:rsidR="005F438F" w:rsidRPr="009B4AA1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что </w:t>
      </w:r>
      <w:r w:rsidR="005F438F" w:rsidRPr="009B4AA1">
        <w:rPr>
          <w:rFonts w:ascii="Times New Roman" w:hAnsi="Times New Roman" w:cs="Times New Roman"/>
          <w:sz w:val="22"/>
          <w:szCs w:val="22"/>
        </w:rPr>
        <w:t xml:space="preserve">   </w:t>
      </w:r>
      <w:r w:rsidRPr="009B4AA1">
        <w:rPr>
          <w:rFonts w:ascii="Times New Roman" w:hAnsi="Times New Roman" w:cs="Times New Roman"/>
          <w:sz w:val="22"/>
          <w:szCs w:val="22"/>
        </w:rPr>
        <w:t>собственниками</w:t>
      </w:r>
      <w:r w:rsidR="005F438F" w:rsidRPr="009B4AA1">
        <w:rPr>
          <w:rFonts w:ascii="Times New Roman" w:hAnsi="Times New Roman" w:cs="Times New Roman"/>
          <w:sz w:val="22"/>
          <w:szCs w:val="22"/>
        </w:rPr>
        <w:t xml:space="preserve">  </w:t>
      </w:r>
      <w:r w:rsidRPr="009B4AA1">
        <w:rPr>
          <w:rFonts w:ascii="Times New Roman" w:hAnsi="Times New Roman" w:cs="Times New Roman"/>
          <w:sz w:val="22"/>
          <w:szCs w:val="22"/>
        </w:rPr>
        <w:t xml:space="preserve"> жилых помещений многоквартирных домов г. Бодайбо не выбран и реализован способ управления, в соответствии с Жилищным кодексом РФ, в первом полугодии  2019 году отделом УМИ объявлено  2 открытых конкурса по отбору управляющих организаций для управления многоквартирными домами г. Бодайбо. </w:t>
      </w:r>
    </w:p>
    <w:p w:rsidR="00734DF7" w:rsidRPr="009B4AA1" w:rsidRDefault="00734DF7" w:rsidP="00734DF7">
      <w:pPr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</w:t>
      </w:r>
      <w:r w:rsidR="0036412E" w:rsidRPr="009B4AA1">
        <w:rPr>
          <w:rFonts w:ascii="Times New Roman" w:hAnsi="Times New Roman" w:cs="Times New Roman"/>
          <w:sz w:val="22"/>
          <w:szCs w:val="22"/>
        </w:rPr>
        <w:t xml:space="preserve">  </w:t>
      </w:r>
      <w:r w:rsidRPr="009B4AA1">
        <w:rPr>
          <w:rFonts w:ascii="Times New Roman" w:hAnsi="Times New Roman" w:cs="Times New Roman"/>
          <w:sz w:val="22"/>
          <w:szCs w:val="22"/>
        </w:rPr>
        <w:t xml:space="preserve">  Отделом УМИ проведены </w:t>
      </w:r>
      <w:r w:rsidR="005F438F" w:rsidRPr="009B4AA1">
        <w:rPr>
          <w:rFonts w:ascii="Times New Roman" w:hAnsi="Times New Roman" w:cs="Times New Roman"/>
          <w:sz w:val="22"/>
          <w:szCs w:val="22"/>
        </w:rPr>
        <w:t>6</w:t>
      </w:r>
      <w:r w:rsidRPr="009B4AA1">
        <w:rPr>
          <w:rFonts w:ascii="Times New Roman" w:hAnsi="Times New Roman" w:cs="Times New Roman"/>
          <w:sz w:val="22"/>
          <w:szCs w:val="22"/>
        </w:rPr>
        <w:t xml:space="preserve"> оценочных процедур рыночной стоимости аренды муниципального автотранспорта. На основании результатов оценки списан</w:t>
      </w:r>
      <w:r w:rsidR="00F87420" w:rsidRPr="009B4AA1">
        <w:rPr>
          <w:rFonts w:ascii="Times New Roman" w:hAnsi="Times New Roman" w:cs="Times New Roman"/>
          <w:sz w:val="22"/>
          <w:szCs w:val="22"/>
        </w:rPr>
        <w:t>ию и утилизации подлежит</w:t>
      </w:r>
      <w:r w:rsidRPr="009B4AA1">
        <w:rPr>
          <w:rFonts w:ascii="Times New Roman" w:hAnsi="Times New Roman" w:cs="Times New Roman"/>
          <w:sz w:val="22"/>
          <w:szCs w:val="22"/>
        </w:rPr>
        <w:t xml:space="preserve"> </w:t>
      </w:r>
      <w:r w:rsidR="00F87420" w:rsidRPr="009B4AA1">
        <w:rPr>
          <w:rFonts w:ascii="Times New Roman" w:hAnsi="Times New Roman" w:cs="Times New Roman"/>
          <w:sz w:val="22"/>
          <w:szCs w:val="22"/>
        </w:rPr>
        <w:t>9</w:t>
      </w:r>
      <w:r w:rsidRPr="009B4AA1">
        <w:rPr>
          <w:rFonts w:ascii="Times New Roman" w:hAnsi="Times New Roman" w:cs="Times New Roman"/>
          <w:sz w:val="22"/>
          <w:szCs w:val="22"/>
        </w:rPr>
        <w:t xml:space="preserve"> единиц муниципального автотранспорта </w:t>
      </w:r>
      <w:r w:rsidR="00F87420" w:rsidRPr="009B4AA1">
        <w:rPr>
          <w:rFonts w:ascii="Times New Roman" w:hAnsi="Times New Roman" w:cs="Times New Roman"/>
          <w:sz w:val="22"/>
          <w:szCs w:val="22"/>
        </w:rPr>
        <w:t>2</w:t>
      </w:r>
      <w:r w:rsidRPr="009B4AA1">
        <w:rPr>
          <w:rFonts w:ascii="Times New Roman" w:hAnsi="Times New Roman" w:cs="Times New Roman"/>
          <w:sz w:val="22"/>
          <w:szCs w:val="22"/>
        </w:rPr>
        <w:t xml:space="preserve"> ед. автотранспорта подлежит капитальному ремонту.</w:t>
      </w:r>
      <w:r w:rsidR="00F87420" w:rsidRPr="009B4AA1">
        <w:rPr>
          <w:rFonts w:ascii="Times New Roman" w:hAnsi="Times New Roman" w:cs="Times New Roman"/>
          <w:sz w:val="22"/>
          <w:szCs w:val="22"/>
        </w:rPr>
        <w:t xml:space="preserve"> Одно пассажирское средство ПАЗ 4234, 2013 года выпуска восстановлено (приобретен новый двигатель) и в настоящее время работает на городских маршрутах. 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</w:t>
      </w:r>
      <w:r w:rsidR="0036412E" w:rsidRPr="009B4AA1">
        <w:rPr>
          <w:rFonts w:ascii="Times New Roman" w:hAnsi="Times New Roman" w:cs="Times New Roman"/>
          <w:sz w:val="22"/>
          <w:szCs w:val="22"/>
        </w:rPr>
        <w:t xml:space="preserve">  </w:t>
      </w:r>
      <w:r w:rsidRPr="009B4AA1">
        <w:rPr>
          <w:rFonts w:ascii="Times New Roman" w:hAnsi="Times New Roman" w:cs="Times New Roman"/>
          <w:sz w:val="22"/>
          <w:szCs w:val="22"/>
        </w:rPr>
        <w:t xml:space="preserve"> В 2019 г.  фактические 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 составили </w:t>
      </w:r>
      <w:r w:rsidR="007541AE" w:rsidRPr="009B4AA1">
        <w:rPr>
          <w:rFonts w:ascii="Times New Roman" w:hAnsi="Times New Roman" w:cs="Times New Roman"/>
          <w:sz w:val="22"/>
          <w:szCs w:val="22"/>
        </w:rPr>
        <w:t>567,933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руб., фактические расходы на проведение рыночной оценки приватизируемого или предоставляемого в аренду муниципального имущества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 xml:space="preserve">101,500 </w:t>
      </w:r>
      <w:r w:rsidRPr="009B4AA1">
        <w:rPr>
          <w:rFonts w:ascii="Times New Roman" w:hAnsi="Times New Roman" w:cs="Times New Roman"/>
          <w:sz w:val="22"/>
          <w:szCs w:val="22"/>
        </w:rPr>
        <w:t xml:space="preserve">тыс. руб., фактические 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 работоспособности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>123,74415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 Фактические расходы на поддержание технических и эксплуатационных показателей многоквартирных жилых домов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 xml:space="preserve">818,43267 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 Фактические расходы на исполнение обязательств по уплате взносов на капитальный ремонт многоквартирных жилых домов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>853,66763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 Фактические расходы на поддержание технических и эксплуатационных показателей объектов муниципальной собственности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>4493,09948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 Расходы на оплату коммунальных платежей составили </w:t>
      </w:r>
      <w:r w:rsidR="00275E26" w:rsidRPr="009B4AA1">
        <w:rPr>
          <w:rFonts w:ascii="Times New Roman" w:hAnsi="Times New Roman" w:cs="Times New Roman"/>
          <w:sz w:val="22"/>
          <w:szCs w:val="22"/>
        </w:rPr>
        <w:t>610,3994</w:t>
      </w:r>
      <w:r w:rsidRPr="009B4AA1">
        <w:rPr>
          <w:rFonts w:ascii="Times New Roman" w:hAnsi="Times New Roman" w:cs="Times New Roman"/>
          <w:sz w:val="22"/>
          <w:szCs w:val="22"/>
        </w:rPr>
        <w:t xml:space="preserve"> тыс. руб. </w:t>
      </w:r>
    </w:p>
    <w:p w:rsidR="00734DF7" w:rsidRPr="009B4AA1" w:rsidRDefault="00734DF7" w:rsidP="00734DF7">
      <w:pPr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 По результатам оценки, уровень эффективности реализации муниципальной программы «Муниципальное управление» на период 2015–2022 годов» </w:t>
      </w:r>
      <w:proofErr w:type="gramStart"/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за</w:t>
      </w:r>
      <w:r w:rsidR="00383505"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2019</w:t>
      </w:r>
      <w:proofErr w:type="gramEnd"/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 </w:t>
      </w:r>
      <w:r w:rsidR="00B53EF7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эффективная</w:t>
      </w:r>
      <w:r w:rsidR="0004784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 показатель критерия – </w:t>
      </w:r>
      <w:r w:rsidR="0004784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1,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0</w:t>
      </w:r>
      <w:r w:rsidR="00047849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03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  Анализ показателей результативности муниципальной программы отражен в приложениях 6, 7, 9.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>Начальник отдела по управлению</w:t>
      </w:r>
    </w:p>
    <w:p w:rsidR="00734DF7" w:rsidRPr="009B4AA1" w:rsidRDefault="00734DF7" w:rsidP="00734DF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муниципальным </w:t>
      </w:r>
      <w:proofErr w:type="gramStart"/>
      <w:r w:rsidRPr="009B4AA1">
        <w:rPr>
          <w:rFonts w:ascii="Times New Roman" w:hAnsi="Times New Roman" w:cs="Times New Roman"/>
          <w:sz w:val="22"/>
          <w:szCs w:val="22"/>
        </w:rPr>
        <w:t>имуществом  и</w:t>
      </w:r>
      <w:proofErr w:type="gramEnd"/>
      <w:r w:rsidRPr="009B4A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34DF7" w:rsidRPr="009B4AA1" w:rsidRDefault="00734DF7" w:rsidP="00734DF7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B4AA1">
        <w:rPr>
          <w:rFonts w:ascii="Times New Roman" w:hAnsi="Times New Roman" w:cs="Times New Roman"/>
          <w:sz w:val="22"/>
          <w:szCs w:val="22"/>
        </w:rPr>
        <w:t xml:space="preserve">жилищно- социальным вопросам                                               </w:t>
      </w:r>
      <w:r w:rsidRPr="009B4AA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B4AA1">
        <w:rPr>
          <w:rFonts w:ascii="Times New Roman" w:hAnsi="Times New Roman" w:cs="Times New Roman"/>
          <w:sz w:val="22"/>
          <w:szCs w:val="22"/>
        </w:rPr>
        <w:t xml:space="preserve">   </w:t>
      </w:r>
      <w:r w:rsidRPr="009B4AA1">
        <w:rPr>
          <w:rFonts w:ascii="Times New Roman" w:hAnsi="Times New Roman" w:cs="Times New Roman"/>
          <w:sz w:val="22"/>
          <w:szCs w:val="22"/>
        </w:rPr>
        <w:t xml:space="preserve">                       Г.В. Холодова</w:t>
      </w: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734DF7" w:rsidRPr="009B4AA1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</w:t>
      </w:r>
    </w:p>
    <w:p w:rsidR="00734DF7" w:rsidRPr="009B4AA1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B4AA1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</w:t>
      </w: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Pr="009B4AA1" w:rsidRDefault="00734DF7" w:rsidP="00734DF7">
      <w:pPr>
        <w:rPr>
          <w:sz w:val="22"/>
          <w:szCs w:val="22"/>
        </w:rPr>
      </w:pPr>
    </w:p>
    <w:p w:rsidR="00734DF7" w:rsidRDefault="00734DF7" w:rsidP="00734DF7"/>
    <w:p w:rsidR="00734DF7" w:rsidRDefault="00734DF7" w:rsidP="00734DF7"/>
    <w:p w:rsidR="00F87420" w:rsidRDefault="00F87420" w:rsidP="00734DF7"/>
    <w:p w:rsidR="00734DF7" w:rsidRPr="0095599E" w:rsidRDefault="00734DF7" w:rsidP="00734DF7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>Приложение 6</w:t>
      </w:r>
    </w:p>
    <w:p w:rsidR="00734DF7" w:rsidRPr="0095599E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734DF7" w:rsidRPr="0095599E" w:rsidRDefault="00734DF7" w:rsidP="00734DF7">
      <w:pPr>
        <w:tabs>
          <w:tab w:val="left" w:pos="2985"/>
        </w:tabs>
        <w:rPr>
          <w:rFonts w:ascii="Times New Roman" w:hAnsi="Times New Roman" w:cs="Times New Roman"/>
          <w:sz w:val="21"/>
          <w:szCs w:val="21"/>
        </w:rPr>
      </w:pPr>
      <w:r w:rsidRPr="0095599E">
        <w:rPr>
          <w:rFonts w:ascii="Times New Roman" w:hAnsi="Times New Roman" w:cs="Times New Roman"/>
          <w:sz w:val="21"/>
          <w:szCs w:val="21"/>
        </w:rPr>
        <w:tab/>
      </w:r>
    </w:p>
    <w:p w:rsidR="00734DF7" w:rsidRPr="001672A5" w:rsidRDefault="00734DF7" w:rsidP="00734DF7">
      <w:pPr>
        <w:tabs>
          <w:tab w:val="left" w:pos="298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Анализ показателей результативности </w:t>
      </w:r>
      <w:r w:rsidRPr="001672A5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 w:rsidRPr="0055623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Муниципальное управление»</w:t>
      </w:r>
      <w:r w:rsidRPr="00556238">
        <w:rPr>
          <w:rFonts w:ascii="Times New Roman" w:hAnsi="Times New Roman" w:cs="Times New Roman"/>
        </w:rPr>
        <w:t xml:space="preserve"> на период 201</w:t>
      </w:r>
      <w:r>
        <w:rPr>
          <w:rFonts w:ascii="Times New Roman" w:hAnsi="Times New Roman" w:cs="Times New Roman"/>
        </w:rPr>
        <w:t>5</w:t>
      </w:r>
      <w:r w:rsidRPr="00556238">
        <w:rPr>
          <w:rFonts w:ascii="Times New Roman" w:hAnsi="Times New Roman" w:cs="Times New Roman"/>
        </w:rPr>
        <w:t>–202</w:t>
      </w:r>
      <w:r>
        <w:rPr>
          <w:rFonts w:ascii="Times New Roman" w:hAnsi="Times New Roman" w:cs="Times New Roman"/>
        </w:rPr>
        <w:t>2</w:t>
      </w:r>
      <w:r w:rsidRPr="00556238">
        <w:rPr>
          <w:rFonts w:ascii="Times New Roman" w:hAnsi="Times New Roman" w:cs="Times New Roman"/>
        </w:rPr>
        <w:t xml:space="preserve"> годов»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, достигнутых за</w:t>
      </w:r>
      <w:r w:rsidR="00F8742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201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</w:t>
      </w:r>
    </w:p>
    <w:p w:rsidR="00734DF7" w:rsidRPr="0095599E" w:rsidRDefault="00734DF7" w:rsidP="00734DF7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51"/>
        <w:gridCol w:w="1134"/>
        <w:gridCol w:w="1133"/>
        <w:gridCol w:w="992"/>
        <w:gridCol w:w="851"/>
        <w:gridCol w:w="1559"/>
      </w:tblGrid>
      <w:tr w:rsidR="00734DF7" w:rsidRPr="0095599E" w:rsidTr="00C953C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результативности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Отклонение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Пояснения по достигнутым значениям</w:t>
            </w:r>
          </w:p>
        </w:tc>
      </w:tr>
      <w:tr w:rsidR="00734DF7" w:rsidRPr="0095599E" w:rsidTr="00C953C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 xml:space="preserve">план </w:t>
            </w:r>
          </w:p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на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-/+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57086C" w:rsidP="0057086C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83505" w:rsidP="0057086C">
            <w:pPr>
              <w:pStyle w:val="a7"/>
              <w:ind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57086C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541AE" w:rsidP="00C953CE">
            <w:pPr>
              <w:pStyle w:val="a7"/>
              <w:ind w:right="-44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7541A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B4AA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541A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A4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автомобильных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дорог,  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которым проведена техническая инвентаризация и паспортизация, на которые зарегистрировано право муниципальной собственности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0A45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383505" w:rsidP="00383505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541AE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541AE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B4AA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0A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34DF7" w:rsidP="00C95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сдачи в аренду </w:t>
            </w:r>
            <w:r w:rsidR="003367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33674A">
              <w:rPr>
                <w:rFonts w:ascii="Times New Roman" w:hAnsi="Times New Roman" w:cs="Times New Roman"/>
                <w:sz w:val="22"/>
                <w:szCs w:val="22"/>
              </w:rPr>
              <w:t>найм</w:t>
            </w:r>
            <w:proofErr w:type="spellEnd"/>
            <w:r w:rsidR="0033674A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имущества</w:t>
            </w:r>
            <w:r w:rsidR="0033674A"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земельные участки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F53D66" w:rsidRDefault="00734DF7" w:rsidP="00C953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53D6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7541AE" w:rsidP="0033674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3674A">
              <w:rPr>
                <w:rFonts w:ascii="Times New Roman" w:hAnsi="Times New Roman" w:cs="Times New Roman"/>
                <w:sz w:val="22"/>
                <w:szCs w:val="22"/>
              </w:rPr>
              <w:t>845,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3674A" w:rsidP="0033674A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541AE" w:rsidP="0033674A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  <w:r w:rsidR="0033674A">
              <w:rPr>
                <w:rFonts w:ascii="Times New Roman" w:hAnsi="Times New Roman" w:cs="Times New Roman"/>
                <w:sz w:val="21"/>
                <w:szCs w:val="21"/>
              </w:rPr>
              <w:t>1166,4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275E26" w:rsidP="0033674A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B4AA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74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33674A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C95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F53D66" w:rsidRDefault="0033674A" w:rsidP="003367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734DF7" w:rsidRPr="00F53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33674A" w:rsidP="00C953C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3674A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33674A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33674A" w:rsidP="00C953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предоставленных в аренду (собственность) земельных участков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F53D66" w:rsidRDefault="0033674A" w:rsidP="00C953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670A45" w:rsidRDefault="0033674A" w:rsidP="0033674A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3674A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E8667A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E8667A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34DF7" w:rsidRPr="0095599E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                                                                                                                   </w:t>
      </w: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047849" w:rsidRPr="0095599E" w:rsidRDefault="00047849" w:rsidP="00734DF7">
      <w:pPr>
        <w:rPr>
          <w:rFonts w:ascii="Times New Roman" w:hAnsi="Times New Roman" w:cs="Times New Roman"/>
          <w:sz w:val="21"/>
          <w:szCs w:val="21"/>
        </w:rPr>
      </w:pPr>
    </w:p>
    <w:p w:rsidR="0036412E" w:rsidRDefault="0036412E" w:rsidP="00734DF7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734DF7" w:rsidRPr="0095599E" w:rsidRDefault="00734DF7" w:rsidP="00734DF7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lastRenderedPageBreak/>
        <w:t>Приложение 7</w:t>
      </w:r>
    </w:p>
    <w:p w:rsidR="00734DF7" w:rsidRPr="0095599E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</w:p>
    <w:p w:rsidR="00734DF7" w:rsidRPr="001672A5" w:rsidRDefault="00734DF7" w:rsidP="00734DF7">
      <w:pPr>
        <w:tabs>
          <w:tab w:val="left" w:pos="298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Анализ объема финансирования муниципальной программы </w:t>
      </w:r>
      <w:r w:rsidRPr="001672A5">
        <w:rPr>
          <w:rFonts w:ascii="Times New Roman" w:hAnsi="Times New Roman" w:cs="Times New Roman"/>
          <w:sz w:val="22"/>
          <w:szCs w:val="22"/>
        </w:rPr>
        <w:t xml:space="preserve">«Переселение граждан из ветхого и аварийного жилищного фонда </w:t>
      </w:r>
      <w:proofErr w:type="spellStart"/>
      <w:r w:rsidRPr="001672A5">
        <w:rPr>
          <w:rFonts w:ascii="Times New Roman" w:hAnsi="Times New Roman" w:cs="Times New Roman"/>
          <w:sz w:val="22"/>
          <w:szCs w:val="22"/>
        </w:rPr>
        <w:t>Бодайбинского</w:t>
      </w:r>
      <w:proofErr w:type="spellEnd"/>
      <w:r w:rsidRPr="001672A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на период 2014–2020 годов</w:t>
      </w:r>
      <w:proofErr w:type="gramStart"/>
      <w:r w:rsidRPr="001672A5">
        <w:rPr>
          <w:rFonts w:ascii="Times New Roman" w:hAnsi="Times New Roman" w:cs="Times New Roman"/>
          <w:sz w:val="22"/>
          <w:szCs w:val="22"/>
        </w:rPr>
        <w:t>»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достигнутых</w:t>
      </w:r>
      <w:proofErr w:type="gramEnd"/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за 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201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r w:rsidRPr="001672A5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год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</w:t>
      </w:r>
    </w:p>
    <w:p w:rsidR="00734DF7" w:rsidRPr="0095599E" w:rsidRDefault="00734DF7" w:rsidP="00734DF7">
      <w:pPr>
        <w:pStyle w:val="a5"/>
        <w:jc w:val="center"/>
        <w:rPr>
          <w:rFonts w:ascii="Times New Roman" w:hAnsi="Times New Roman" w:cs="Times New Roman"/>
          <w:sz w:val="21"/>
          <w:szCs w:val="21"/>
        </w:rPr>
      </w:pPr>
      <w:r w:rsidRPr="0095599E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54"/>
        <w:gridCol w:w="1134"/>
        <w:gridCol w:w="964"/>
        <w:gridCol w:w="1134"/>
        <w:gridCol w:w="879"/>
        <w:gridCol w:w="709"/>
        <w:gridCol w:w="1842"/>
      </w:tblGrid>
      <w:tr w:rsidR="00734DF7" w:rsidRPr="0095599E" w:rsidTr="00206E4F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206E4F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Источ</w:t>
            </w:r>
            <w:r w:rsidR="00206E4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ники</w:t>
            </w:r>
            <w:proofErr w:type="spellEnd"/>
            <w:proofErr w:type="gramEnd"/>
            <w:r w:rsidRPr="0095599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финанси</w:t>
            </w:r>
            <w:r w:rsidR="00206E4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рования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 xml:space="preserve">Объем финансирования </w:t>
            </w:r>
          </w:p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тыс. руб.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Отклонение,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Пояснения по освоению объемов финансирования</w:t>
            </w:r>
          </w:p>
        </w:tc>
      </w:tr>
      <w:tr w:rsidR="00734DF7" w:rsidRPr="0095599E" w:rsidTr="00206E4F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-/+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734DF7" w:rsidRPr="0095599E" w:rsidTr="00206E4F">
        <w:trPr>
          <w:trHeight w:val="441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AD36C2" w:rsidRDefault="00734DF7" w:rsidP="0036412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D36C2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технической инвентаризации и паспортизации объектов муниципального имущества, с целью постановки (сня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тию) их на государственный кадастровый учет и регистрации права собственности на объекты муниципального имущества </w:t>
            </w: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567,933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567,933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275E26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rPr>
          <w:trHeight w:val="25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C953CE">
            <w:pPr>
              <w:ind w:right="-137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rPr>
          <w:trHeight w:val="21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и объема ремонта, определение возможности дальнейшей эксплуатации, ресурса работоспособности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123,74415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68,25585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295908" w:rsidRDefault="007A782D" w:rsidP="00ED2EA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D2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412E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295908" w:rsidRDefault="00734DF7" w:rsidP="00C953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F7" w:rsidRPr="0095599E" w:rsidTr="00206E4F">
        <w:trPr>
          <w:trHeight w:val="11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поддержание технических и эксплуатационных показателей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818,43267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202,56733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295908" w:rsidRDefault="0036412E" w:rsidP="0036412E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295908" w:rsidRDefault="00734DF7" w:rsidP="00C953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DF7" w:rsidRPr="0095599E" w:rsidTr="00206E4F">
        <w:trPr>
          <w:trHeight w:val="11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295908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206E4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853,667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46,33237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rPr>
          <w:trHeight w:val="1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4493,09948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291,90052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36412E" w:rsidP="0036412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rPr>
          <w:trHeight w:val="1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проведение прочих мероприятий по управлению муниципальной собственностью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206E4F">
        <w:trPr>
          <w:trHeight w:val="12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оплату коммунальных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4DF7" w:rsidRPr="0095599E" w:rsidRDefault="00734DF7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7A782D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610,400</w:t>
            </w:r>
          </w:p>
          <w:p w:rsidR="00734DF7" w:rsidRPr="0095599E" w:rsidRDefault="00734DF7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610,3994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F7" w:rsidRPr="0095599E" w:rsidRDefault="007A782D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DF7" w:rsidRPr="0095599E" w:rsidRDefault="00734DF7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782D" w:rsidRPr="0095599E" w:rsidTr="00206E4F">
        <w:trPr>
          <w:trHeight w:val="1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7A782D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F3" w:rsidRPr="0095599E" w:rsidRDefault="00577CF3" w:rsidP="00577CF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  <w:p w:rsidR="007A782D" w:rsidRPr="0095599E" w:rsidRDefault="007A782D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874,54751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50,45249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82D" w:rsidRPr="0095599E" w:rsidRDefault="007A782D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782D" w:rsidRPr="0095599E" w:rsidTr="00206E4F">
        <w:trPr>
          <w:trHeight w:val="1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C953CE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дополнительной помощи при возникновении неотложной необходимости в проведении капитального ремонта общего имущества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 многоквартирных домах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F3" w:rsidRPr="0095599E" w:rsidRDefault="00577CF3" w:rsidP="00577CF3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  <w:p w:rsidR="007A782D" w:rsidRPr="0095599E" w:rsidRDefault="007A782D" w:rsidP="00C953CE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C953C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1910,360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577CF3" w:rsidP="0038350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1910,3</w:t>
            </w:r>
            <w:r w:rsidR="00383505">
              <w:rPr>
                <w:rFonts w:ascii="Times New Roman" w:hAnsi="Times New Roman" w:cs="Times New Roman"/>
                <w:sz w:val="21"/>
                <w:szCs w:val="21"/>
              </w:rPr>
              <w:t>5983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383505" w:rsidP="0038350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2D" w:rsidRDefault="00383505" w:rsidP="007A782D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82D" w:rsidRPr="0095599E" w:rsidRDefault="007A782D" w:rsidP="00C953CE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2EAB" w:rsidRPr="0095599E" w:rsidTr="00206E4F">
        <w:trPr>
          <w:trHeight w:val="17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Обновление парка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95599E" w:rsidRDefault="00ED2EAB" w:rsidP="00ED2EA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599E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  <w:p w:rsidR="00ED2EAB" w:rsidRPr="0095599E" w:rsidRDefault="00ED2EAB" w:rsidP="00ED2EAB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5089,9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Default="00ED2EAB" w:rsidP="00ED2EAB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EAB" w:rsidRPr="0095599E" w:rsidRDefault="00ED2EAB" w:rsidP="00ED2EAB">
            <w:pPr>
              <w:pStyle w:val="a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2EAB" w:rsidRPr="0095599E" w:rsidTr="00206E4F">
        <w:trPr>
          <w:trHeight w:val="263"/>
        </w:trPr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C62A3D" w:rsidRDefault="00ED2EAB" w:rsidP="00ED2EAB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62A3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Всего по программе: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C62A3D" w:rsidRDefault="00206E4F" w:rsidP="00ED2EA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16468,26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C62A3D" w:rsidRDefault="00206E4F" w:rsidP="00ED2EA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15663,58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C62A3D" w:rsidRDefault="00206E4F" w:rsidP="00ED2EAB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-804,7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AB" w:rsidRPr="00C62A3D" w:rsidRDefault="00206E4F" w:rsidP="00206E4F">
            <w:pPr>
              <w:ind w:left="-110" w:firstLine="1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EAB" w:rsidRPr="00C62A3D" w:rsidRDefault="00ED2EAB" w:rsidP="00ED2EAB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34DF7" w:rsidRPr="0095599E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Pr="0095599E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Pr="0095599E" w:rsidRDefault="00734DF7" w:rsidP="00734DF7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Приложение № 9</w:t>
      </w:r>
    </w:p>
    <w:p w:rsidR="00734DF7" w:rsidRDefault="00734DF7" w:rsidP="00734DF7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</w:pPr>
      <w:r w:rsidRPr="0095599E">
        <w:rPr>
          <w:rStyle w:val="a3"/>
          <w:rFonts w:ascii="Times New Roman" w:hAnsi="Times New Roman" w:cs="Times New Roman"/>
          <w:b w:val="0"/>
          <w:color w:val="auto"/>
          <w:sz w:val="21"/>
          <w:szCs w:val="21"/>
        </w:rPr>
        <w:t xml:space="preserve">                            </w:t>
      </w:r>
    </w:p>
    <w:p w:rsidR="00734DF7" w:rsidRPr="00681437" w:rsidRDefault="00734DF7" w:rsidP="00734DF7"/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8152"/>
        <w:gridCol w:w="222"/>
        <w:gridCol w:w="222"/>
        <w:gridCol w:w="222"/>
        <w:gridCol w:w="222"/>
        <w:gridCol w:w="222"/>
      </w:tblGrid>
      <w:tr w:rsidR="00734DF7" w:rsidRPr="0095599E" w:rsidTr="00C953CE">
        <w:trPr>
          <w:gridAfter w:val="1"/>
          <w:wAfter w:w="426" w:type="dxa"/>
          <w:trHeight w:val="300"/>
        </w:trPr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4DF7" w:rsidRPr="0095599E" w:rsidTr="00C953CE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page" w:horzAnchor="margin" w:tblpY="16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6"/>
              <w:gridCol w:w="3681"/>
            </w:tblGrid>
            <w:tr w:rsidR="00734DF7" w:rsidRPr="0095599E" w:rsidTr="00C953CE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Вывод об эффективности реализации муниципальной программы и (или) подпрограммы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Критерии оценки эффективности </w:t>
                  </w:r>
                  <w:r w:rsidRPr="0095599E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drawing>
                      <wp:inline distT="0" distB="0" distL="0" distR="0" wp14:anchorId="01AF6DC1" wp14:editId="42122DCD">
                        <wp:extent cx="273050" cy="19113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4DF7" w:rsidRPr="0095599E" w:rsidTr="00C953CE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Неэффективная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4DF7" w:rsidRPr="0057751B" w:rsidRDefault="00734DF7" w:rsidP="00C953CE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  <w:r w:rsidRPr="0057751B">
                    <w:rPr>
                      <w:rFonts w:ascii="Times New Roman" w:hAnsi="Times New Roman" w:cs="Times New Roman"/>
                      <w:sz w:val="20"/>
                    </w:rPr>
                    <w:t>менее 0,5</w:t>
                  </w:r>
                </w:p>
              </w:tc>
            </w:tr>
            <w:tr w:rsidR="00734DF7" w:rsidRPr="0095599E" w:rsidTr="00C953CE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Уровень эффективности удовлетворительный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4DF7" w:rsidRPr="0057751B" w:rsidRDefault="00734DF7" w:rsidP="00C953CE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  <w:r w:rsidRPr="0057751B">
                    <w:rPr>
                      <w:rFonts w:ascii="Times New Roman" w:hAnsi="Times New Roman" w:cs="Times New Roman"/>
                      <w:sz w:val="20"/>
                    </w:rPr>
                    <w:t>0,5-0,79</w:t>
                  </w:r>
                </w:p>
              </w:tc>
            </w:tr>
            <w:tr w:rsidR="00734DF7" w:rsidRPr="0095599E" w:rsidTr="00C953CE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Эффективная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4DF7" w:rsidRPr="0057751B" w:rsidRDefault="00734DF7" w:rsidP="00C953CE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  <w:r w:rsidRPr="0057751B">
                    <w:rPr>
                      <w:rFonts w:ascii="Times New Roman" w:hAnsi="Times New Roman" w:cs="Times New Roman"/>
                      <w:sz w:val="20"/>
                    </w:rPr>
                    <w:t>0,8-1</w:t>
                  </w:r>
                </w:p>
              </w:tc>
            </w:tr>
            <w:tr w:rsidR="00734DF7" w:rsidRPr="0095599E" w:rsidTr="00C953CE"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DF7" w:rsidRPr="0095599E" w:rsidRDefault="00734DF7" w:rsidP="00C953CE">
                  <w:pPr>
                    <w:pStyle w:val="a4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5599E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Высокоэффективная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34DF7" w:rsidRPr="0057751B" w:rsidRDefault="00734DF7" w:rsidP="00C953CE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  <w:r w:rsidRPr="0057751B">
                    <w:rPr>
                      <w:rFonts w:ascii="Times New Roman" w:hAnsi="Times New Roman" w:cs="Times New Roman"/>
                      <w:sz w:val="20"/>
                    </w:rPr>
                    <w:t>более 1</w:t>
                  </w:r>
                </w:p>
              </w:tc>
            </w:tr>
          </w:tbl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F7" w:rsidRPr="0095599E" w:rsidRDefault="00734DF7" w:rsidP="00C953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Pr="00CD0110" w:rsidRDefault="00734DF7" w:rsidP="00734DF7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CD0110">
        <w:rPr>
          <w:rFonts w:ascii="Times New Roman" w:hAnsi="Times New Roman" w:cs="Times New Roman"/>
          <w:sz w:val="21"/>
          <w:szCs w:val="21"/>
        </w:rPr>
        <w:t>Сдц</w:t>
      </w:r>
      <w:proofErr w:type="spellEnd"/>
      <w:r w:rsidRPr="00CD0110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CD0110">
        <w:rPr>
          <w:rFonts w:ascii="Times New Roman" w:hAnsi="Times New Roman" w:cs="Times New Roman"/>
          <w:sz w:val="21"/>
          <w:szCs w:val="21"/>
        </w:rPr>
        <w:t>=</w:t>
      </w:r>
      <w:r>
        <w:rPr>
          <w:rFonts w:ascii="Times New Roman" w:hAnsi="Times New Roman" w:cs="Times New Roman"/>
          <w:sz w:val="21"/>
          <w:szCs w:val="21"/>
        </w:rPr>
        <w:t>(</w:t>
      </w:r>
      <w:proofErr w:type="gramEnd"/>
      <w:r>
        <w:rPr>
          <w:rFonts w:ascii="Times New Roman" w:hAnsi="Times New Roman" w:cs="Times New Roman"/>
          <w:sz w:val="21"/>
          <w:szCs w:val="21"/>
        </w:rPr>
        <w:t>1,</w:t>
      </w:r>
      <w:r w:rsidR="009B4AA1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5 +</w:t>
      </w:r>
      <w:r w:rsidR="009B4AA1">
        <w:rPr>
          <w:rFonts w:ascii="Times New Roman" w:hAnsi="Times New Roman" w:cs="Times New Roman"/>
          <w:sz w:val="21"/>
          <w:szCs w:val="21"/>
        </w:rPr>
        <w:t>1,0</w:t>
      </w:r>
      <w:r>
        <w:rPr>
          <w:rFonts w:ascii="Times New Roman" w:hAnsi="Times New Roman" w:cs="Times New Roman"/>
          <w:sz w:val="21"/>
          <w:szCs w:val="21"/>
        </w:rPr>
        <w:t>+</w:t>
      </w:r>
      <w:r w:rsidR="009B4AA1">
        <w:rPr>
          <w:rFonts w:ascii="Times New Roman" w:hAnsi="Times New Roman" w:cs="Times New Roman"/>
          <w:sz w:val="21"/>
          <w:szCs w:val="21"/>
        </w:rPr>
        <w:t>1,</w:t>
      </w:r>
      <w:r w:rsidR="00206E4F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+</w:t>
      </w:r>
      <w:r w:rsidR="00206E4F">
        <w:rPr>
          <w:rFonts w:ascii="Times New Roman" w:hAnsi="Times New Roman" w:cs="Times New Roman"/>
          <w:sz w:val="21"/>
          <w:szCs w:val="21"/>
        </w:rPr>
        <w:t>1,0</w:t>
      </w:r>
      <w:r>
        <w:rPr>
          <w:rFonts w:ascii="Times New Roman" w:hAnsi="Times New Roman" w:cs="Times New Roman"/>
          <w:sz w:val="21"/>
          <w:szCs w:val="21"/>
        </w:rPr>
        <w:t>+</w:t>
      </w:r>
      <w:r w:rsidR="00206E4F">
        <w:rPr>
          <w:rFonts w:ascii="Times New Roman" w:hAnsi="Times New Roman" w:cs="Times New Roman"/>
          <w:sz w:val="21"/>
          <w:szCs w:val="21"/>
        </w:rPr>
        <w:t>0,93</w:t>
      </w:r>
      <w:r>
        <w:rPr>
          <w:rFonts w:ascii="Times New Roman" w:hAnsi="Times New Roman" w:cs="Times New Roman"/>
          <w:sz w:val="21"/>
          <w:szCs w:val="21"/>
        </w:rPr>
        <w:t>)/</w:t>
      </w:r>
      <w:r w:rsidR="00047849">
        <w:rPr>
          <w:rFonts w:ascii="Times New Roman" w:hAnsi="Times New Roman" w:cs="Times New Roman"/>
          <w:sz w:val="21"/>
          <w:szCs w:val="21"/>
        </w:rPr>
        <w:t>5</w:t>
      </w:r>
      <w:r w:rsidRPr="00CD0110">
        <w:rPr>
          <w:rFonts w:ascii="Times New Roman" w:hAnsi="Times New Roman" w:cs="Times New Roman"/>
          <w:sz w:val="21"/>
          <w:szCs w:val="21"/>
        </w:rPr>
        <w:t>=</w:t>
      </w:r>
      <w:r w:rsidR="00047849">
        <w:rPr>
          <w:rFonts w:ascii="Times New Roman" w:hAnsi="Times New Roman" w:cs="Times New Roman"/>
          <w:sz w:val="21"/>
          <w:szCs w:val="21"/>
        </w:rPr>
        <w:t>1,056</w:t>
      </w:r>
    </w:p>
    <w:p w:rsidR="00206E4F" w:rsidRDefault="00734DF7" w:rsidP="00734DF7">
      <w:pPr>
        <w:rPr>
          <w:rFonts w:ascii="Times New Roman" w:hAnsi="Times New Roman" w:cs="Times New Roman"/>
          <w:sz w:val="21"/>
          <w:szCs w:val="21"/>
        </w:rPr>
      </w:pPr>
      <w:r w:rsidRPr="00CD0110">
        <w:rPr>
          <w:rFonts w:ascii="Times New Roman" w:hAnsi="Times New Roman" w:cs="Times New Roman"/>
          <w:sz w:val="21"/>
          <w:szCs w:val="21"/>
        </w:rPr>
        <w:t xml:space="preserve">Уф= </w:t>
      </w:r>
      <w:proofErr w:type="spellStart"/>
      <w:r w:rsidRPr="00CD0110">
        <w:rPr>
          <w:rFonts w:ascii="Times New Roman" w:hAnsi="Times New Roman" w:cs="Times New Roman"/>
          <w:sz w:val="21"/>
          <w:szCs w:val="21"/>
        </w:rPr>
        <w:t>Ф</w:t>
      </w:r>
      <w:r>
        <w:rPr>
          <w:rFonts w:ascii="Times New Roman" w:hAnsi="Times New Roman" w:cs="Times New Roman"/>
          <w:sz w:val="21"/>
          <w:szCs w:val="21"/>
        </w:rPr>
        <w:t>ф</w:t>
      </w:r>
      <w:proofErr w:type="spellEnd"/>
      <w:r w:rsidRPr="00CD0110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CD0110">
        <w:rPr>
          <w:rFonts w:ascii="Times New Roman" w:hAnsi="Times New Roman" w:cs="Times New Roman"/>
          <w:sz w:val="21"/>
          <w:szCs w:val="21"/>
        </w:rPr>
        <w:t>Ф</w:t>
      </w:r>
      <w:r>
        <w:rPr>
          <w:rFonts w:ascii="Times New Roman" w:hAnsi="Times New Roman" w:cs="Times New Roman"/>
          <w:sz w:val="21"/>
          <w:szCs w:val="21"/>
        </w:rPr>
        <w:t>п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D0110">
        <w:rPr>
          <w:rFonts w:ascii="Times New Roman" w:hAnsi="Times New Roman" w:cs="Times New Roman"/>
          <w:sz w:val="21"/>
          <w:szCs w:val="21"/>
        </w:rPr>
        <w:t xml:space="preserve">= </w:t>
      </w:r>
      <w:r w:rsidR="009B4AA1">
        <w:rPr>
          <w:rFonts w:ascii="Times New Roman" w:hAnsi="Times New Roman" w:cs="Times New Roman"/>
          <w:sz w:val="21"/>
          <w:szCs w:val="21"/>
        </w:rPr>
        <w:t>1</w:t>
      </w:r>
      <w:r w:rsidR="00206E4F">
        <w:rPr>
          <w:rFonts w:ascii="Times New Roman" w:hAnsi="Times New Roman" w:cs="Times New Roman"/>
          <w:sz w:val="21"/>
          <w:szCs w:val="21"/>
        </w:rPr>
        <w:t>5663,58</w:t>
      </w:r>
      <w:r>
        <w:rPr>
          <w:rFonts w:ascii="Times New Roman" w:hAnsi="Times New Roman" w:cs="Times New Roman"/>
          <w:sz w:val="21"/>
          <w:szCs w:val="21"/>
        </w:rPr>
        <w:t>/</w:t>
      </w:r>
      <w:r w:rsidR="009B4AA1">
        <w:rPr>
          <w:rFonts w:ascii="Times New Roman" w:hAnsi="Times New Roman" w:cs="Times New Roman"/>
          <w:sz w:val="21"/>
          <w:szCs w:val="21"/>
        </w:rPr>
        <w:t>1</w:t>
      </w:r>
      <w:r w:rsidR="00206E4F">
        <w:rPr>
          <w:rFonts w:ascii="Times New Roman" w:hAnsi="Times New Roman" w:cs="Times New Roman"/>
          <w:sz w:val="21"/>
          <w:szCs w:val="21"/>
        </w:rPr>
        <w:t>6468,26</w:t>
      </w:r>
      <w:r w:rsidRPr="00CD0110">
        <w:rPr>
          <w:rFonts w:ascii="Times New Roman" w:hAnsi="Times New Roman" w:cs="Times New Roman"/>
          <w:sz w:val="21"/>
          <w:szCs w:val="21"/>
        </w:rPr>
        <w:t>=</w:t>
      </w:r>
      <w:r>
        <w:rPr>
          <w:rFonts w:ascii="Times New Roman" w:hAnsi="Times New Roman" w:cs="Times New Roman"/>
          <w:sz w:val="21"/>
          <w:szCs w:val="21"/>
        </w:rPr>
        <w:t>0,</w:t>
      </w:r>
      <w:r w:rsidR="00206E4F">
        <w:rPr>
          <w:rFonts w:ascii="Times New Roman" w:hAnsi="Times New Roman" w:cs="Times New Roman"/>
          <w:sz w:val="21"/>
          <w:szCs w:val="21"/>
        </w:rPr>
        <w:t>951</w:t>
      </w: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CD0110">
        <w:rPr>
          <w:rFonts w:ascii="Times New Roman" w:hAnsi="Times New Roman" w:cs="Times New Roman"/>
          <w:sz w:val="21"/>
          <w:szCs w:val="21"/>
        </w:rPr>
        <w:t>Эмп</w:t>
      </w:r>
      <w:proofErr w:type="spellEnd"/>
      <w:r w:rsidRPr="00CD0110">
        <w:rPr>
          <w:rFonts w:ascii="Times New Roman" w:hAnsi="Times New Roman" w:cs="Times New Roman"/>
          <w:sz w:val="21"/>
          <w:szCs w:val="21"/>
        </w:rPr>
        <w:t>=</w:t>
      </w:r>
      <w:proofErr w:type="spellStart"/>
      <w:r w:rsidRPr="00CD0110">
        <w:rPr>
          <w:rFonts w:ascii="Times New Roman" w:hAnsi="Times New Roman" w:cs="Times New Roman"/>
          <w:sz w:val="21"/>
          <w:szCs w:val="21"/>
        </w:rPr>
        <w:t>Сдц</w:t>
      </w:r>
      <w:proofErr w:type="spellEnd"/>
      <w:r w:rsidRPr="00CD0110">
        <w:rPr>
          <w:rFonts w:ascii="Times New Roman" w:hAnsi="Times New Roman" w:cs="Times New Roman"/>
          <w:sz w:val="21"/>
          <w:szCs w:val="21"/>
        </w:rPr>
        <w:t xml:space="preserve">*Уф = </w:t>
      </w:r>
      <w:r w:rsidR="009B4AA1">
        <w:rPr>
          <w:rFonts w:ascii="Times New Roman" w:hAnsi="Times New Roman" w:cs="Times New Roman"/>
          <w:sz w:val="21"/>
          <w:szCs w:val="21"/>
        </w:rPr>
        <w:t>0,9</w:t>
      </w:r>
      <w:r w:rsidR="00047849">
        <w:rPr>
          <w:rFonts w:ascii="Times New Roman" w:hAnsi="Times New Roman" w:cs="Times New Roman"/>
          <w:sz w:val="21"/>
          <w:szCs w:val="21"/>
        </w:rPr>
        <w:t>51</w:t>
      </w:r>
      <w:r>
        <w:rPr>
          <w:rFonts w:ascii="Times New Roman" w:hAnsi="Times New Roman" w:cs="Times New Roman"/>
          <w:sz w:val="21"/>
          <w:szCs w:val="21"/>
        </w:rPr>
        <w:t>*</w:t>
      </w:r>
      <w:r w:rsidR="00047849">
        <w:rPr>
          <w:rFonts w:ascii="Times New Roman" w:hAnsi="Times New Roman" w:cs="Times New Roman"/>
          <w:sz w:val="21"/>
          <w:szCs w:val="21"/>
        </w:rPr>
        <w:t>1,056</w:t>
      </w:r>
      <w:r w:rsidR="009B4AA1">
        <w:rPr>
          <w:rFonts w:ascii="Times New Roman" w:hAnsi="Times New Roman" w:cs="Times New Roman"/>
          <w:sz w:val="21"/>
          <w:szCs w:val="21"/>
        </w:rPr>
        <w:t>=</w:t>
      </w:r>
      <w:r w:rsidRPr="00CD0110">
        <w:rPr>
          <w:rFonts w:ascii="Times New Roman" w:hAnsi="Times New Roman" w:cs="Times New Roman"/>
          <w:sz w:val="21"/>
          <w:szCs w:val="21"/>
        </w:rPr>
        <w:t xml:space="preserve"> </w:t>
      </w:r>
      <w:r w:rsidR="00047849">
        <w:rPr>
          <w:rFonts w:ascii="Times New Roman" w:hAnsi="Times New Roman" w:cs="Times New Roman"/>
          <w:sz w:val="21"/>
          <w:szCs w:val="21"/>
        </w:rPr>
        <w:t>1,003</w:t>
      </w:r>
    </w:p>
    <w:p w:rsidR="00047849" w:rsidRDefault="00047849" w:rsidP="00734DF7">
      <w:pPr>
        <w:rPr>
          <w:rFonts w:ascii="Times New Roman" w:hAnsi="Times New Roman" w:cs="Times New Roman"/>
          <w:sz w:val="21"/>
          <w:szCs w:val="21"/>
        </w:rPr>
      </w:pP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 2019 году программа оценивается как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эффективная</w:t>
      </w:r>
      <w:r w:rsidR="009B4AA1">
        <w:rPr>
          <w:rFonts w:ascii="Times New Roman" w:hAnsi="Times New Roman" w:cs="Times New Roman"/>
          <w:sz w:val="21"/>
          <w:szCs w:val="21"/>
        </w:rPr>
        <w:t>.</w:t>
      </w:r>
    </w:p>
    <w:p w:rsidR="00734DF7" w:rsidRDefault="00734DF7" w:rsidP="00734DF7">
      <w:pPr>
        <w:rPr>
          <w:rFonts w:ascii="Times New Roman" w:hAnsi="Times New Roman" w:cs="Times New Roman"/>
          <w:sz w:val="21"/>
          <w:szCs w:val="21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Default="007541AE" w:rsidP="00734DF7">
      <w:pPr>
        <w:rPr>
          <w:rFonts w:ascii="Times New Roman" w:hAnsi="Times New Roman" w:cs="Times New Roman"/>
          <w:i/>
          <w:sz w:val="18"/>
          <w:szCs w:val="18"/>
        </w:rPr>
      </w:pPr>
    </w:p>
    <w:p w:rsidR="007541AE" w:rsidRPr="007541AE" w:rsidRDefault="007541AE" w:rsidP="00734DF7">
      <w:pPr>
        <w:rPr>
          <w:rFonts w:ascii="Times New Roman" w:hAnsi="Times New Roman" w:cs="Times New Roman"/>
          <w:sz w:val="22"/>
          <w:szCs w:val="22"/>
        </w:rPr>
      </w:pPr>
      <w:r w:rsidRPr="007541AE">
        <w:rPr>
          <w:rFonts w:ascii="Times New Roman" w:hAnsi="Times New Roman" w:cs="Times New Roman"/>
          <w:sz w:val="22"/>
          <w:szCs w:val="22"/>
        </w:rPr>
        <w:t>Подготовил</w:t>
      </w:r>
    </w:p>
    <w:p w:rsidR="007541AE" w:rsidRPr="007541AE" w:rsidRDefault="007541AE" w:rsidP="00734DF7">
      <w:pPr>
        <w:rPr>
          <w:rFonts w:ascii="Times New Roman" w:hAnsi="Times New Roman" w:cs="Times New Roman"/>
          <w:sz w:val="22"/>
          <w:szCs w:val="22"/>
        </w:rPr>
      </w:pPr>
      <w:r w:rsidRPr="007541AE">
        <w:rPr>
          <w:rFonts w:ascii="Times New Roman" w:hAnsi="Times New Roman" w:cs="Times New Roman"/>
          <w:sz w:val="22"/>
          <w:szCs w:val="22"/>
        </w:rPr>
        <w:t xml:space="preserve">Главный специалист по вопросам </w:t>
      </w:r>
    </w:p>
    <w:p w:rsidR="007541AE" w:rsidRPr="007541AE" w:rsidRDefault="007541AE" w:rsidP="00734D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7541AE">
        <w:rPr>
          <w:rFonts w:ascii="Times New Roman" w:hAnsi="Times New Roman" w:cs="Times New Roman"/>
          <w:sz w:val="22"/>
          <w:szCs w:val="22"/>
        </w:rPr>
        <w:t>правления муниципальным имуществом</w:t>
      </w:r>
    </w:p>
    <w:p w:rsidR="00734DF7" w:rsidRPr="007541AE" w:rsidRDefault="00734DF7" w:rsidP="00734DF7">
      <w:pPr>
        <w:rPr>
          <w:rFonts w:ascii="Times New Roman" w:hAnsi="Times New Roman" w:cs="Times New Roman"/>
          <w:sz w:val="22"/>
          <w:szCs w:val="22"/>
        </w:rPr>
      </w:pPr>
      <w:r w:rsidRPr="007541AE">
        <w:rPr>
          <w:rFonts w:ascii="Times New Roman" w:hAnsi="Times New Roman" w:cs="Times New Roman"/>
          <w:sz w:val="22"/>
          <w:szCs w:val="22"/>
        </w:rPr>
        <w:t>Шуб Т.В.</w:t>
      </w:r>
    </w:p>
    <w:p w:rsidR="00734DF7" w:rsidRPr="007541AE" w:rsidRDefault="00734DF7" w:rsidP="00734DF7">
      <w:pPr>
        <w:rPr>
          <w:b/>
          <w:sz w:val="22"/>
          <w:szCs w:val="22"/>
        </w:rPr>
      </w:pPr>
    </w:p>
    <w:p w:rsidR="007639E0" w:rsidRDefault="007639E0"/>
    <w:sectPr w:rsidR="0076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7"/>
    <w:rsid w:val="00047849"/>
    <w:rsid w:val="00206E4F"/>
    <w:rsid w:val="00275E26"/>
    <w:rsid w:val="0033674A"/>
    <w:rsid w:val="0036412E"/>
    <w:rsid w:val="00383505"/>
    <w:rsid w:val="0057086C"/>
    <w:rsid w:val="0057591D"/>
    <w:rsid w:val="00577CF3"/>
    <w:rsid w:val="005F438F"/>
    <w:rsid w:val="00685F3D"/>
    <w:rsid w:val="00734DF7"/>
    <w:rsid w:val="007541AE"/>
    <w:rsid w:val="007639E0"/>
    <w:rsid w:val="007A782D"/>
    <w:rsid w:val="009B4AA1"/>
    <w:rsid w:val="00B53EF7"/>
    <w:rsid w:val="00B87050"/>
    <w:rsid w:val="00BF6617"/>
    <w:rsid w:val="00D63201"/>
    <w:rsid w:val="00DC6E76"/>
    <w:rsid w:val="00E4508B"/>
    <w:rsid w:val="00E8667A"/>
    <w:rsid w:val="00ED2EAB"/>
    <w:rsid w:val="00F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4B48-560D-4AE9-B406-674385A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4DF7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734DF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734DF7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734DF7"/>
    <w:pPr>
      <w:ind w:firstLine="0"/>
      <w:jc w:val="left"/>
    </w:pPr>
  </w:style>
  <w:style w:type="paragraph" w:styleId="a7">
    <w:name w:val="Subtitle"/>
    <w:basedOn w:val="a"/>
    <w:next w:val="a"/>
    <w:link w:val="a8"/>
    <w:uiPriority w:val="11"/>
    <w:qFormat/>
    <w:rsid w:val="00734DF7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a8">
    <w:name w:val="Подзаголовок Знак"/>
    <w:basedOn w:val="a0"/>
    <w:link w:val="a7"/>
    <w:uiPriority w:val="11"/>
    <w:rsid w:val="00734DF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4A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A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Шуб Татьяна Владимировна</cp:lastModifiedBy>
  <cp:revision>2</cp:revision>
  <cp:lastPrinted>2020-01-30T06:07:00Z</cp:lastPrinted>
  <dcterms:created xsi:type="dcterms:W3CDTF">2020-04-16T07:26:00Z</dcterms:created>
  <dcterms:modified xsi:type="dcterms:W3CDTF">2020-04-16T07:26:00Z</dcterms:modified>
</cp:coreProperties>
</file>