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701"/>
        <w:gridCol w:w="1843"/>
      </w:tblGrid>
      <w:tr w:rsidR="008B10E2" w:rsidRPr="008B10E2" w:rsidTr="008B10E2">
        <w:trPr>
          <w:trHeight w:val="316"/>
        </w:trPr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306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</w:t>
            </w:r>
            <w:r w:rsidR="003064D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B10E2" w:rsidRPr="008B10E2" w:rsidTr="008B10E2">
        <w:trPr>
          <w:trHeight w:val="509"/>
        </w:trPr>
        <w:tc>
          <w:tcPr>
            <w:tcW w:w="92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0E2" w:rsidRPr="008B10E2" w:rsidTr="008B10E2">
        <w:trPr>
          <w:trHeight w:val="94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1B7F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262 301,8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8B10E2" w:rsidRPr="008B10E2" w:rsidTr="00C543B7">
        <w:trPr>
          <w:trHeight w:val="3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165 290,7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  <w:r w:rsidR="0041507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1B7F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97 011,1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79 864,6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241 735,6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3064D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8B10E2" w:rsidRPr="008B10E2" w:rsidTr="00C543B7">
        <w:trPr>
          <w:trHeight w:val="3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427AD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44 396,2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427AD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(-)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427AD" w:rsidP="00A22BE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20 566,2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0E2" w:rsidRDefault="008B10E2"/>
    <w:p w:rsidR="000F61D6" w:rsidRPr="008B10E2" w:rsidRDefault="00335549" w:rsidP="008B10E2">
      <w:r>
        <w:rPr>
          <w:noProof/>
          <w:lang w:eastAsia="ru-RU"/>
        </w:rPr>
        <w:drawing>
          <wp:inline distT="0" distB="0" distL="0" distR="0" wp14:anchorId="7BF3AFC0" wp14:editId="32FA80FA">
            <wp:extent cx="5940425" cy="567817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F61D6" w:rsidRPr="008B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2"/>
    <w:rsid w:val="000F61D6"/>
    <w:rsid w:val="00140F9E"/>
    <w:rsid w:val="001B0C0C"/>
    <w:rsid w:val="001B7FEA"/>
    <w:rsid w:val="001C25CA"/>
    <w:rsid w:val="001F19EE"/>
    <w:rsid w:val="0027390A"/>
    <w:rsid w:val="002D2A3F"/>
    <w:rsid w:val="003064DC"/>
    <w:rsid w:val="00335549"/>
    <w:rsid w:val="003822BE"/>
    <w:rsid w:val="003F6CCA"/>
    <w:rsid w:val="0041507F"/>
    <w:rsid w:val="00505CF6"/>
    <w:rsid w:val="00620091"/>
    <w:rsid w:val="006D3E54"/>
    <w:rsid w:val="006E6FAC"/>
    <w:rsid w:val="00711A24"/>
    <w:rsid w:val="007B67A7"/>
    <w:rsid w:val="00880459"/>
    <w:rsid w:val="008B10E2"/>
    <w:rsid w:val="00903CF5"/>
    <w:rsid w:val="00A22BE5"/>
    <w:rsid w:val="00A46441"/>
    <w:rsid w:val="00B427AD"/>
    <w:rsid w:val="00B56E6F"/>
    <w:rsid w:val="00B751E5"/>
    <w:rsid w:val="00BA6CA3"/>
    <w:rsid w:val="00C13E38"/>
    <w:rsid w:val="00C30F4A"/>
    <w:rsid w:val="00C543B7"/>
    <w:rsid w:val="00CA423A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0FF4-2568-4A8A-992B-178657C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effectLst>
                  <a:glow rad="228600">
                    <a:schemeClr val="accent6">
                      <a:satMod val="175000"/>
                      <a:alpha val="40000"/>
                    </a:schemeClr>
                  </a:glow>
                  <a:reflection blurRad="6350" stA="60000" endA="900" endPos="60000" dist="29997" dir="5400000" sy="-10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ru-RU" b="1" cap="none" spc="0">
                <a:ln w="6600">
                  <a:solidFill>
                    <a:schemeClr val="accent2"/>
                  </a:solidFill>
                  <a:prstDash val="solid"/>
                </a:ln>
                <a:solidFill>
                  <a:srgbClr val="FFFFFF"/>
                </a:solidFill>
                <a:effectLst>
                  <a:outerShdw dist="38100" dir="2700000" algn="tl" rotWithShape="0">
                    <a:schemeClr val="accent2"/>
                  </a:outerShdw>
                </a:effectLst>
              </a:rPr>
              <a:t>Исполнение бюджета Бодайбинского муниципального образования в 2018 году, тыс.руб.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effectLst>
                <a:glow rad="228600">
                  <a:schemeClr val="accent6">
                    <a:satMod val="175000"/>
                    <a:alpha val="40000"/>
                  </a:schemeClr>
                </a:glow>
                <a:reflection blurRad="6350" stA="60000" endA="900" endPos="60000" dist="29997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80"/>
      <c:rAngAx val="0"/>
      <c:perspective val="12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87881860747912"/>
          <c:y val="0.12300816177012054"/>
          <c:w val="0.86471854323963726"/>
          <c:h val="0.7830862194555099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1587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15875" prstMaterial="dkEdge">
              <a:bevelT w="101600" h="88900"/>
              <a:bevelB w="101600" prst="riblet"/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chemeClr val="tx1">
                  <a:lumMod val="50000"/>
                  <a:lumOff val="50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20000"/>
                  <a:lumOff val="80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20000"/>
                  <a:lumOff val="80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20000"/>
                  <a:lumOff val="80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Lbls>
            <c:dLbl>
              <c:idx val="1"/>
              <c:layout>
                <c:manualLayout>
                  <c:x val="1.8278749490457907E-2"/>
                  <c:y val="-3.666920431676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515766969535799E-3"/>
                  <c:y val="-4.6969358085439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677709500843434E-16"/>
                  <c:y val="-4.4732721986132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dobe Devanagari" panose="02040503050201020203" pitchFamily="18" charset="0"/>
                    <a:ea typeface="+mn-ea"/>
                    <a:cs typeface="Adobe Devanagari" panose="02040503050201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'Лист1 (2)'!$A$14:$A$19</c:f>
              <c:strCache>
                <c:ptCount val="6"/>
                <c:pt idx="0">
                  <c:v>Доходы, всего, из них:</c:v>
                </c:pt>
                <c:pt idx="1">
                  <c:v>Налоговые и неналоговые доходы</c:v>
                </c:pt>
                <c:pt idx="2">
                  <c:v>Безвозмездные поступления, всего, из них</c:v>
                </c:pt>
                <c:pt idx="3">
                  <c:v>Целевые средства из бюджетов других уровней</c:v>
                </c:pt>
                <c:pt idx="4">
                  <c:v>Расходы, всего</c:v>
                </c:pt>
                <c:pt idx="5">
                  <c:v>Средства на исполнение целевых программ</c:v>
                </c:pt>
              </c:strCache>
            </c:strRef>
          </c:cat>
          <c:val>
            <c:numRef>
              <c:f>'Лист1 (2)'!$B$14:$B$19</c:f>
              <c:numCache>
                <c:formatCode>#,##0.00</c:formatCode>
                <c:ptCount val="6"/>
                <c:pt idx="0">
                  <c:v>262301.80000000005</c:v>
                </c:pt>
                <c:pt idx="1">
                  <c:v>165290.70000000001</c:v>
                </c:pt>
                <c:pt idx="2">
                  <c:v>97011.1</c:v>
                </c:pt>
                <c:pt idx="3">
                  <c:v>45631.600000000006</c:v>
                </c:pt>
                <c:pt idx="4">
                  <c:v>241735.6</c:v>
                </c:pt>
                <c:pt idx="5">
                  <c:v>44396.2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-943617216"/>
        <c:axId val="-943624288"/>
        <c:axId val="0"/>
      </c:bar3DChart>
      <c:catAx>
        <c:axId val="-9436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Microsoft JhengHei" panose="020B0604030504040204" pitchFamily="34" charset="-120"/>
                <a:ea typeface="Microsoft JhengHei" panose="020B0604030504040204" pitchFamily="34" charset="-120"/>
                <a:cs typeface="+mn-cs"/>
              </a:defRPr>
            </a:pPr>
            <a:endParaRPr lang="ru-RU"/>
          </a:p>
        </c:txPr>
        <c:crossAx val="-943624288"/>
        <c:crosses val="autoZero"/>
        <c:auto val="1"/>
        <c:lblAlgn val="ctr"/>
        <c:lblOffset val="100"/>
        <c:noMultiLvlLbl val="0"/>
      </c:catAx>
      <c:valAx>
        <c:axId val="-94362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Microsoft JhengHei" panose="020B0604030504040204" pitchFamily="34" charset="-120"/>
                <a:ea typeface="Microsoft JhengHei" panose="020B0604030504040204" pitchFamily="34" charset="-120"/>
                <a:cs typeface="+mn-cs"/>
              </a:defRPr>
            </a:pPr>
            <a:endParaRPr lang="ru-RU"/>
          </a:p>
        </c:txPr>
        <c:crossAx val="-94361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narHorz">
      <a:fgClr>
        <a:schemeClr val="accent2">
          <a:lumMod val="60000"/>
          <a:lumOff val="40000"/>
        </a:schemeClr>
      </a:fgClr>
      <a:bgClr>
        <a:schemeClr val="bg1"/>
      </a:bgClr>
    </a:patt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dcterms:created xsi:type="dcterms:W3CDTF">2019-04-05T02:12:00Z</dcterms:created>
  <dcterms:modified xsi:type="dcterms:W3CDTF">2019-04-05T02:12:00Z</dcterms:modified>
</cp:coreProperties>
</file>