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1" w:type="dxa"/>
        <w:tblInd w:w="93" w:type="dxa"/>
        <w:tblLook w:val="04A0" w:firstRow="1" w:lastRow="0" w:firstColumn="1" w:lastColumn="0" w:noHBand="0" w:noVBand="1"/>
      </w:tblPr>
      <w:tblGrid>
        <w:gridCol w:w="6214"/>
        <w:gridCol w:w="1456"/>
        <w:gridCol w:w="1771"/>
      </w:tblGrid>
      <w:tr w:rsidR="005B188E" w:rsidRPr="005B188E" w:rsidTr="005B188E">
        <w:trPr>
          <w:trHeight w:val="311"/>
        </w:trPr>
        <w:tc>
          <w:tcPr>
            <w:tcW w:w="944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Исполнение бюджета Бодайбинского муниципального образования в 2010 году</w:t>
            </w:r>
          </w:p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</w:p>
        </w:tc>
      </w:tr>
      <w:tr w:rsidR="005B188E" w:rsidRPr="005B188E" w:rsidTr="005B188E">
        <w:trPr>
          <w:trHeight w:val="311"/>
        </w:trPr>
        <w:tc>
          <w:tcPr>
            <w:tcW w:w="944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188E" w:rsidRPr="005B188E" w:rsidRDefault="005B188E" w:rsidP="005B18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</w:p>
        </w:tc>
      </w:tr>
      <w:tr w:rsidR="005B188E" w:rsidRPr="005B188E" w:rsidTr="005B188E">
        <w:trPr>
          <w:trHeight w:val="1583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Основные показатели бюджета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тыс.руб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% исполнения относительно утвержденного плана</w:t>
            </w:r>
          </w:p>
        </w:tc>
      </w:tr>
      <w:tr w:rsidR="005B188E" w:rsidRPr="005B188E" w:rsidTr="005B188E">
        <w:trPr>
          <w:trHeight w:val="311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ДОХОДЫ, ВСЕГО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407 790,3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98</w:t>
            </w:r>
          </w:p>
        </w:tc>
      </w:tr>
      <w:tr w:rsidR="005B188E" w:rsidRPr="005B188E" w:rsidTr="005B188E">
        <w:trPr>
          <w:trHeight w:val="311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63 997,9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5B188E" w:rsidRPr="005B188E" w:rsidTr="005B188E">
        <w:trPr>
          <w:trHeight w:val="311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Безвозмездные поступления, всего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343 792,5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99</w:t>
            </w:r>
          </w:p>
        </w:tc>
      </w:tr>
      <w:tr w:rsidR="005B188E" w:rsidRPr="005B188E" w:rsidTr="005B188E">
        <w:trPr>
          <w:trHeight w:val="311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Целевые средства из бюджетов других уровней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315 365,0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5B188E" w:rsidRPr="005B188E" w:rsidTr="005B188E">
        <w:trPr>
          <w:trHeight w:val="311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РАСХОДЫ, ВСЕГО: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413 094,9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97</w:t>
            </w:r>
          </w:p>
        </w:tc>
      </w:tr>
      <w:tr w:rsidR="005B188E" w:rsidRPr="005B188E" w:rsidTr="005B188E">
        <w:trPr>
          <w:trHeight w:val="34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Средства на исполнение региональных целевых программ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315 365,0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100</w:t>
            </w:r>
          </w:p>
        </w:tc>
      </w:tr>
      <w:tr w:rsidR="005B188E" w:rsidRPr="005B188E" w:rsidTr="005B188E">
        <w:trPr>
          <w:trHeight w:val="311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Дефицит</w:t>
            </w:r>
            <w:proofErr w:type="gramStart"/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 xml:space="preserve"> (-) </w:t>
            </w:r>
            <w:proofErr w:type="gramEnd"/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Профицит (+)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-5 304,6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8E" w:rsidRPr="005B188E" w:rsidRDefault="005B188E" w:rsidP="005B188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5B188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0F61D6" w:rsidRPr="005B188E" w:rsidRDefault="000F61D6">
      <w:pPr>
        <w:rPr>
          <w:rFonts w:asciiTheme="majorHAnsi" w:hAnsiTheme="majorHAnsi"/>
        </w:rPr>
      </w:pPr>
    </w:p>
    <w:p w:rsidR="005B188E" w:rsidRPr="005B188E" w:rsidRDefault="005B188E" w:rsidP="002F3E86">
      <w:pPr>
        <w:tabs>
          <w:tab w:val="right" w:pos="8789"/>
        </w:tabs>
        <w:rPr>
          <w:rFonts w:asciiTheme="majorHAnsi" w:hAnsiTheme="majorHAnsi"/>
        </w:rPr>
      </w:pPr>
      <w:r w:rsidRPr="005B188E">
        <w:rPr>
          <w:rFonts w:asciiTheme="majorHAnsi" w:hAnsiTheme="majorHAnsi"/>
        </w:rPr>
        <w:t>Структура бюджета</w:t>
      </w:r>
      <w:r w:rsidR="002F3E86">
        <w:rPr>
          <w:rFonts w:asciiTheme="majorHAnsi" w:hAnsiTheme="majorHAnsi"/>
        </w:rPr>
        <w:tab/>
        <w:t xml:space="preserve">                   Тыс.руб.</w:t>
      </w:r>
      <w:bookmarkStart w:id="0" w:name="_GoBack"/>
      <w:bookmarkEnd w:id="0"/>
    </w:p>
    <w:p w:rsidR="005B188E" w:rsidRDefault="005B188E">
      <w:r>
        <w:rPr>
          <w:noProof/>
          <w:lang w:eastAsia="ru-RU"/>
        </w:rPr>
        <w:drawing>
          <wp:inline distT="0" distB="0" distL="0" distR="0" wp14:anchorId="0694A110" wp14:editId="0EF3A594">
            <wp:extent cx="5971430" cy="4118776"/>
            <wp:effectExtent l="0" t="0" r="1079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B188E" w:rsidSect="005B188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8E"/>
    <w:rsid w:val="000F61D6"/>
    <w:rsid w:val="002F3E86"/>
    <w:rsid w:val="005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10549523417992"/>
          <c:y val="0.47637289088863893"/>
          <c:w val="0.78557178278026452"/>
          <c:h val="0.9422891837383669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rgbClr val="FBEAC7"/>
                </a:gs>
                <a:gs pos="17999">
                  <a:srgbClr val="FEE7F2"/>
                </a:gs>
                <a:gs pos="36000">
                  <a:srgbClr val="FAC77D"/>
                </a:gs>
                <a:gs pos="61000">
                  <a:srgbClr val="FBA97D"/>
                </a:gs>
                <a:gs pos="82001">
                  <a:srgbClr val="FBD49C"/>
                </a:gs>
                <a:gs pos="100000">
                  <a:srgbClr val="FEE7F2"/>
                </a:gs>
              </a:gsLst>
              <a:lin ang="5400000" scaled="0"/>
              <a:tileRect r="-100000" b="-100000"/>
            </a:gradFill>
          </c:spPr>
          <c:invertIfNegative val="0"/>
          <c:dLbls>
            <c:dLbl>
              <c:idx val="0"/>
              <c:spPr>
                <a:noFill/>
                <a:scene3d>
                  <a:camera prst="orthographicFront"/>
                  <a:lightRig rig="threePt" dir="t"/>
                </a:scene3d>
                <a:sp3d/>
              </c:spPr>
              <c:txPr>
                <a:bodyPr/>
                <a:lstStyle/>
                <a:p>
                  <a:pPr>
                    <a:defRPr sz="1000" b="1" cap="all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+mj-lt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1000" b="1" cap="all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'2010'!$A$23:$A$32</c:f>
              <c:strCache>
                <c:ptCount val="7"/>
                <c:pt idx="0">
                  <c:v>ДОХОДЫ, ВСЕГО из них налоговые и неналоговые</c:v>
                </c:pt>
                <c:pt idx="2">
                  <c:v>Безвозмездные поступления, всего, из них целевые средства из бюджетов других уровней</c:v>
                </c:pt>
                <c:pt idx="4">
                  <c:v>РАСХОДЫ, ВСЕГО из них средства на исполнение региональных целевых программ</c:v>
                </c:pt>
                <c:pt idx="6">
                  <c:v>Дефицит (-) Профицит (+)</c:v>
                </c:pt>
              </c:strCache>
            </c:strRef>
          </c:cat>
          <c:val>
            <c:numRef>
              <c:f>'2010'!$B$23:$B$32</c:f>
              <c:numCache>
                <c:formatCode>General</c:formatCode>
                <c:ptCount val="7"/>
                <c:pt idx="0" formatCode="#,##0.0">
                  <c:v>407790.3</c:v>
                </c:pt>
                <c:pt idx="2" formatCode="#,##0.0">
                  <c:v>343792.5</c:v>
                </c:pt>
                <c:pt idx="4" formatCode="#,##0.0">
                  <c:v>413094.9</c:v>
                </c:pt>
                <c:pt idx="6" formatCode="#,##0.0">
                  <c:v>-5304.6000000000349</c:v>
                </c:pt>
              </c:numCache>
            </c:numRef>
          </c:val>
        </c:ser>
        <c:ser>
          <c:idx val="1"/>
          <c:order val="1"/>
          <c:spPr>
            <a:gradFill flip="none" rotWithShape="1">
              <a:gsLst>
                <a:gs pos="0">
                  <a:srgbClr val="D6B19C"/>
                </a:gs>
                <a:gs pos="30000">
                  <a:srgbClr val="D49E6C"/>
                </a:gs>
                <a:gs pos="70000">
                  <a:srgbClr val="A65528"/>
                </a:gs>
                <a:gs pos="100000">
                  <a:srgbClr val="663012"/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Lbls>
            <c:spPr>
              <a:ln w="12700" cap="rnd"/>
              <a:effectLst>
                <a:softEdge rad="12700"/>
              </a:effectLst>
            </c:spPr>
            <c:txPr>
              <a:bodyPr/>
              <a:lstStyle/>
              <a:p>
                <a:pPr>
                  <a:defRPr sz="1000" b="1" i="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'2010'!$A$23:$A$32</c:f>
              <c:strCache>
                <c:ptCount val="7"/>
                <c:pt idx="0">
                  <c:v>ДОХОДЫ, ВСЕГО из них налоговые и неналоговые</c:v>
                </c:pt>
                <c:pt idx="2">
                  <c:v>Безвозмездные поступления, всего, из них целевые средства из бюджетов других уровней</c:v>
                </c:pt>
                <c:pt idx="4">
                  <c:v>РАСХОДЫ, ВСЕГО из них средства на исполнение региональных целевых программ</c:v>
                </c:pt>
                <c:pt idx="6">
                  <c:v>Дефицит (-) Профицит (+)</c:v>
                </c:pt>
              </c:strCache>
            </c:strRef>
          </c:cat>
          <c:val>
            <c:numRef>
              <c:f>'2010'!$C$23:$C$32</c:f>
              <c:numCache>
                <c:formatCode>General</c:formatCode>
                <c:ptCount val="7"/>
                <c:pt idx="0" formatCode="#,##0.0">
                  <c:v>63997.9</c:v>
                </c:pt>
                <c:pt idx="2" formatCode="#,##0.0">
                  <c:v>315365</c:v>
                </c:pt>
                <c:pt idx="4" formatCode="#,##0.0">
                  <c:v>315365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gapDepth val="30"/>
        <c:shape val="cylinder"/>
        <c:axId val="173128704"/>
        <c:axId val="174842624"/>
        <c:axId val="0"/>
      </c:bar3DChart>
      <c:catAx>
        <c:axId val="173128704"/>
        <c:scaling>
          <c:orientation val="minMax"/>
        </c:scaling>
        <c:delete val="0"/>
        <c:axPos val="b"/>
        <c:numFmt formatCode="\Оs\н\о\в" sourceLinked="0"/>
        <c:majorTickMark val="in"/>
        <c:minorTickMark val="cross"/>
        <c:tickLblPos val="high"/>
        <c:txPr>
          <a:bodyPr rot="-5400000" vert="horz" anchor="ctr" anchorCtr="1"/>
          <a:lstStyle/>
          <a:p>
            <a:pPr>
              <a:defRPr sz="1050" b="0" i="0" u="none"/>
            </a:pPr>
            <a:endParaRPr lang="ru-RU"/>
          </a:p>
        </c:txPr>
        <c:crossAx val="174842624"/>
        <c:crosses val="autoZero"/>
        <c:auto val="0"/>
        <c:lblAlgn val="ctr"/>
        <c:lblOffset val="100"/>
        <c:noMultiLvlLbl val="0"/>
      </c:catAx>
      <c:valAx>
        <c:axId val="17484262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3128704"/>
        <c:crossesAt val="1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2</cp:revision>
  <dcterms:created xsi:type="dcterms:W3CDTF">2016-03-30T00:36:00Z</dcterms:created>
  <dcterms:modified xsi:type="dcterms:W3CDTF">2016-03-30T06:25:00Z</dcterms:modified>
</cp:coreProperties>
</file>