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44"/>
        <w:gridCol w:w="1984"/>
        <w:gridCol w:w="1985"/>
      </w:tblGrid>
      <w:tr w:rsidR="00A25B59" w:rsidRPr="00A25B59" w:rsidTr="0064778B">
        <w:trPr>
          <w:trHeight w:val="315"/>
        </w:trPr>
        <w:tc>
          <w:tcPr>
            <w:tcW w:w="951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5B59" w:rsidRPr="00A25B59" w:rsidRDefault="00A25B59" w:rsidP="00A25B5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25B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Исполнение бюджета Бодайбинского муниципального образования  в 2013 году</w:t>
            </w:r>
          </w:p>
        </w:tc>
      </w:tr>
      <w:tr w:rsidR="00A25B59" w:rsidRPr="00A25B59" w:rsidTr="0064778B">
        <w:trPr>
          <w:trHeight w:val="690"/>
        </w:trPr>
        <w:tc>
          <w:tcPr>
            <w:tcW w:w="951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25B59" w:rsidRPr="00A25B59" w:rsidRDefault="00A25B59" w:rsidP="00A25B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B59" w:rsidRPr="00A25B59" w:rsidTr="0064778B">
        <w:trPr>
          <w:trHeight w:val="12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9" w:rsidRPr="00A25B59" w:rsidRDefault="00A25B59" w:rsidP="00A25B5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25B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Основные показатели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59" w:rsidRPr="00A25B59" w:rsidRDefault="00A25B59" w:rsidP="00A25B5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25B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B59" w:rsidRPr="00A25B59" w:rsidRDefault="00A25B59" w:rsidP="00A25B5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25B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% исполнения относительно утвержденного плана</w:t>
            </w:r>
          </w:p>
        </w:tc>
      </w:tr>
      <w:tr w:rsidR="00A25B59" w:rsidRPr="00A25B59" w:rsidTr="0064778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B59" w:rsidRPr="00A25B59" w:rsidRDefault="00A25B59" w:rsidP="00A25B5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B5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59" w:rsidRPr="00A25B59" w:rsidRDefault="00A25B59" w:rsidP="00A25B5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B5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244 462,40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59" w:rsidRPr="00A25B59" w:rsidRDefault="00A25B59" w:rsidP="00A25B5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B5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A25B59" w:rsidRPr="00A25B59" w:rsidTr="0064778B">
        <w:trPr>
          <w:trHeight w:val="3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B59" w:rsidRPr="00A25B59" w:rsidRDefault="00A25B59" w:rsidP="00A25B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25B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59" w:rsidRPr="00A25B59" w:rsidRDefault="00A25B59" w:rsidP="00A25B5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25B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99 831,40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59" w:rsidRPr="00A25B59" w:rsidRDefault="00A25B59" w:rsidP="00A25B5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25B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A25B59" w:rsidRPr="00A25B59" w:rsidTr="0064778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B59" w:rsidRPr="00A25B59" w:rsidRDefault="00A25B59" w:rsidP="00A25B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25B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Безвозмездные поступления,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59" w:rsidRPr="00A25B59" w:rsidRDefault="00A25B59" w:rsidP="00A25B5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25B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144 622,10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59" w:rsidRPr="00A25B59" w:rsidRDefault="00A25B59" w:rsidP="00A25B5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25B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</w:tr>
      <w:tr w:rsidR="00A25B59" w:rsidRPr="00A25B59" w:rsidTr="0064778B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B59" w:rsidRPr="00A25B59" w:rsidRDefault="00A25B59" w:rsidP="00A25B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25B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Целевые средства из бюджетов других уровней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59" w:rsidRPr="00A25B59" w:rsidRDefault="00A25B59" w:rsidP="00A25B5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25B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129 175,20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59" w:rsidRPr="00A25B59" w:rsidRDefault="00A25B59" w:rsidP="00A25B5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25B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A25B59" w:rsidRPr="00A25B59" w:rsidTr="0064778B">
        <w:trPr>
          <w:trHeight w:val="3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B59" w:rsidRPr="00A25B59" w:rsidRDefault="00A25B59" w:rsidP="00A25B5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B5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РАСХОДЫ, 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59" w:rsidRPr="00A25B59" w:rsidRDefault="00A25B59" w:rsidP="00A25B5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B5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249 700,70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59" w:rsidRPr="00A25B59" w:rsidRDefault="00A25B59" w:rsidP="00A25B5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B5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93,2</w:t>
            </w:r>
          </w:p>
        </w:tc>
      </w:tr>
      <w:tr w:rsidR="00A25B59" w:rsidRPr="00A25B59" w:rsidTr="0064778B">
        <w:trPr>
          <w:trHeight w:val="3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B59" w:rsidRPr="00A25B59" w:rsidRDefault="00A25B59" w:rsidP="00A25B5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25B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Средства на исполнение региональных целевых программ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59" w:rsidRPr="00A25B59" w:rsidRDefault="00A25B59" w:rsidP="00A25B5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25B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128 872,10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59" w:rsidRPr="00A25B59" w:rsidRDefault="00A25B59" w:rsidP="00A25B5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A25B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A25B59" w:rsidRPr="00A25B59" w:rsidTr="0064778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B59" w:rsidRPr="00A25B59" w:rsidRDefault="00A25B59" w:rsidP="00A25B5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B5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Дефицит</w:t>
            </w:r>
            <w:proofErr w:type="gramStart"/>
            <w:r w:rsidRPr="00A25B5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(-) </w:t>
            </w:r>
            <w:proofErr w:type="gramEnd"/>
            <w:r w:rsidRPr="00A25B5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59" w:rsidRPr="00A25B59" w:rsidRDefault="00A25B59" w:rsidP="00A25B5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B5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-5 238,30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59" w:rsidRPr="00A25B59" w:rsidRDefault="00A25B59" w:rsidP="00A25B5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25B59" w:rsidRPr="00A25B59" w:rsidRDefault="00A25B59" w:rsidP="00A25B59">
      <w:pPr>
        <w:ind w:firstLine="708"/>
        <w:rPr>
          <w:rFonts w:asciiTheme="majorHAnsi" w:hAnsiTheme="majorHAnsi"/>
        </w:rPr>
      </w:pPr>
    </w:p>
    <w:p w:rsidR="00A25B59" w:rsidRPr="002F5324" w:rsidRDefault="00A25B59" w:rsidP="0064778B">
      <w:pPr>
        <w:tabs>
          <w:tab w:val="right" w:pos="9355"/>
        </w:tabs>
        <w:rPr>
          <w:rFonts w:asciiTheme="majorHAnsi" w:hAnsiTheme="majorHAnsi"/>
        </w:rPr>
      </w:pPr>
      <w:r w:rsidRPr="002F5324">
        <w:rPr>
          <w:rFonts w:asciiTheme="majorHAnsi" w:hAnsiTheme="majorHAnsi"/>
        </w:rPr>
        <w:t>Структура бюджета</w:t>
      </w:r>
      <w:r w:rsidR="0064778B">
        <w:rPr>
          <w:rFonts w:asciiTheme="majorHAnsi" w:hAnsiTheme="majorHAnsi"/>
        </w:rPr>
        <w:tab/>
        <w:t>Тыс.руб.</w:t>
      </w:r>
    </w:p>
    <w:p w:rsidR="00A25B59" w:rsidRPr="00A25B59" w:rsidRDefault="00A25B59" w:rsidP="00A25B59">
      <w:bookmarkStart w:id="0" w:name="_GoBack"/>
      <w:r>
        <w:rPr>
          <w:noProof/>
          <w:lang w:eastAsia="ru-RU"/>
        </w:rPr>
        <w:drawing>
          <wp:inline distT="0" distB="0" distL="0" distR="0" wp14:anchorId="2E79140B" wp14:editId="1045DAC6">
            <wp:extent cx="6090700" cy="4174434"/>
            <wp:effectExtent l="0" t="0" r="24765" b="171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A25B59" w:rsidRPr="00A25B59" w:rsidRDefault="00A25B59" w:rsidP="00A25B59"/>
    <w:p w:rsidR="00A25B59" w:rsidRPr="00A25B59" w:rsidRDefault="00A25B59" w:rsidP="00A25B59"/>
    <w:sectPr w:rsidR="00A25B59" w:rsidRPr="00A25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59"/>
    <w:rsid w:val="000F61D6"/>
    <w:rsid w:val="002F5324"/>
    <w:rsid w:val="005036E1"/>
    <w:rsid w:val="0064778B"/>
    <w:rsid w:val="00A25B59"/>
    <w:rsid w:val="00F5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9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gradFill>
              <a:gsLst>
                <a:gs pos="0">
                  <a:srgbClr val="FF3399"/>
                </a:gs>
                <a:gs pos="25000">
                  <a:srgbClr val="FF6633"/>
                </a:gs>
                <a:gs pos="50000">
                  <a:srgbClr val="FFFF00"/>
                </a:gs>
                <a:gs pos="78000">
                  <a:srgbClr val="01A78F"/>
                </a:gs>
                <a:gs pos="100000">
                  <a:srgbClr val="3366FF"/>
                </a:gs>
              </a:gsLst>
              <a:lin ang="5400000" scaled="0"/>
            </a:gradFill>
            <a:ln>
              <a:solidFill>
                <a:schemeClr val="accent4">
                  <a:lumMod val="50000"/>
                </a:schemeClr>
              </a:solidFill>
            </a:ln>
            <a:scene3d>
              <a:camera prst="orthographicFront"/>
              <a:lightRig rig="threePt" dir="t"/>
            </a:scene3d>
            <a:sp3d prstMaterial="softEdge">
              <a:contourClr>
                <a:srgbClr val="000000"/>
              </a:contourClr>
            </a:sp3d>
          </c:spPr>
          <c:invertIfNegative val="0"/>
          <c:dLbls>
            <c:txPr>
              <a:bodyPr/>
              <a:lstStyle/>
              <a:p>
                <a:pPr>
                  <a:defRPr b="1">
                    <a:latin typeface="+mj-lt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'2013'!$A$18:$A$21</c:f>
              <c:strCache>
                <c:ptCount val="4"/>
                <c:pt idx="0">
                  <c:v>Дефицит (-) Профицит (+)</c:v>
                </c:pt>
                <c:pt idx="1">
                  <c:v>РАСХОДЫ, ВСЕГО из них средства на исполнение региональных целевых программ</c:v>
                </c:pt>
                <c:pt idx="2">
                  <c:v>Безвозмездные поступления, всего, из них целевые средства из бюджетов других уровней</c:v>
                </c:pt>
                <c:pt idx="3">
                  <c:v>ДОХОДЫ, ВСЕГО из них налоговые и неналоговые</c:v>
                </c:pt>
              </c:strCache>
            </c:strRef>
          </c:cat>
          <c:val>
            <c:numRef>
              <c:f>'2013'!$B$18:$B$21</c:f>
              <c:numCache>
                <c:formatCode>#,##0.00</c:formatCode>
                <c:ptCount val="4"/>
                <c:pt idx="0">
                  <c:v>5238.3</c:v>
                </c:pt>
                <c:pt idx="1">
                  <c:v>249700.7</c:v>
                </c:pt>
                <c:pt idx="2">
                  <c:v>144622.1</c:v>
                </c:pt>
                <c:pt idx="3">
                  <c:v>244462.4</c:v>
                </c:pt>
              </c:numCache>
            </c:numRef>
          </c:val>
          <c:shape val="pyramidToMax"/>
        </c:ser>
        <c:ser>
          <c:idx val="1"/>
          <c:order val="1"/>
          <c:spPr>
            <a:gradFill flip="none" rotWithShape="1">
              <a:gsLst>
                <a:gs pos="0">
                  <a:srgbClr val="FC9FCB"/>
                </a:gs>
                <a:gs pos="13000">
                  <a:srgbClr val="F8B049"/>
                </a:gs>
                <a:gs pos="21001">
                  <a:srgbClr val="F8B049"/>
                </a:gs>
                <a:gs pos="63000">
                  <a:srgbClr val="FEE7F2"/>
                </a:gs>
                <a:gs pos="67000">
                  <a:srgbClr val="F952A0"/>
                </a:gs>
                <a:gs pos="69000">
                  <a:srgbClr val="C50849"/>
                </a:gs>
                <a:gs pos="82001">
                  <a:srgbClr val="B43E85"/>
                </a:gs>
                <a:gs pos="100000">
                  <a:srgbClr val="F8B049"/>
                </a:gs>
              </a:gsLst>
              <a:path path="rect">
                <a:fillToRect l="100000" t="100000"/>
              </a:path>
              <a:tileRect r="-100000" b="-100000"/>
            </a:gradFill>
            <a:ln>
              <a:solidFill>
                <a:schemeClr val="accent4">
                  <a:lumMod val="50000"/>
                </a:schemeClr>
              </a:solidFill>
            </a:ln>
            <a:scene3d>
              <a:camera prst="orthographicFront"/>
              <a:lightRig rig="threePt" dir="t"/>
            </a:scene3d>
            <a:sp3d prstMaterial="matte">
              <a:contourClr>
                <a:srgbClr val="000000"/>
              </a:contourClr>
            </a:sp3d>
          </c:spPr>
          <c:invertIfNegative val="0"/>
          <c:dPt>
            <c:idx val="3"/>
            <c:invertIfNegative val="0"/>
            <c:bubble3D val="0"/>
            <c:spPr>
              <a:gradFill flip="none" rotWithShape="1">
                <a:gsLst>
                  <a:gs pos="0">
                    <a:srgbClr val="FC9FCB"/>
                  </a:gs>
                  <a:gs pos="13000">
                    <a:srgbClr val="F8B049"/>
                  </a:gs>
                  <a:gs pos="21001">
                    <a:srgbClr val="F8B049"/>
                  </a:gs>
                  <a:gs pos="63000">
                    <a:srgbClr val="FEE7F2"/>
                  </a:gs>
                  <a:gs pos="67000">
                    <a:srgbClr val="F952A0"/>
                  </a:gs>
                  <a:gs pos="69000">
                    <a:srgbClr val="C50849"/>
                  </a:gs>
                  <a:gs pos="82001">
                    <a:srgbClr val="B43E85"/>
                  </a:gs>
                  <a:gs pos="100000">
                    <a:srgbClr val="F8B049"/>
                  </a:gs>
                </a:gsLst>
                <a:path path="rect">
                  <a:fillToRect l="100000" t="100000"/>
                </a:path>
                <a:tileRect r="-100000" b="-100000"/>
              </a:gradFill>
              <a:ln>
                <a:solidFill>
                  <a:schemeClr val="accent4">
                    <a:lumMod val="50000"/>
                  </a:schemeClr>
                </a:solidFill>
              </a:ln>
              <a:scene3d>
                <a:camera prst="orthographicFront"/>
                <a:lightRig rig="threePt" dir="t"/>
              </a:scene3d>
              <a:sp3d>
                <a:contourClr>
                  <a:srgbClr val="000000"/>
                </a:contourClr>
              </a:sp3d>
            </c:spPr>
          </c:dPt>
          <c:dLbls>
            <c:txPr>
              <a:bodyPr/>
              <a:lstStyle/>
              <a:p>
                <a:pPr>
                  <a:defRPr b="1">
                    <a:latin typeface="+mj-lt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'2013'!$A$18:$A$21</c:f>
              <c:strCache>
                <c:ptCount val="4"/>
                <c:pt idx="0">
                  <c:v>Дефицит (-) Профицит (+)</c:v>
                </c:pt>
                <c:pt idx="1">
                  <c:v>РАСХОДЫ, ВСЕГО из них средства на исполнение региональных целевых программ</c:v>
                </c:pt>
                <c:pt idx="2">
                  <c:v>Безвозмездные поступления, всего, из них целевые средства из бюджетов других уровней</c:v>
                </c:pt>
                <c:pt idx="3">
                  <c:v>ДОХОДЫ, ВСЕГО из них налоговые и неналоговые</c:v>
                </c:pt>
              </c:strCache>
            </c:strRef>
          </c:cat>
          <c:val>
            <c:numRef>
              <c:f>'2013'!$C$18:$C$21</c:f>
              <c:numCache>
                <c:formatCode>#,##0.00</c:formatCode>
                <c:ptCount val="4"/>
                <c:pt idx="1">
                  <c:v>128872.1</c:v>
                </c:pt>
                <c:pt idx="2">
                  <c:v>129175.2</c:v>
                </c:pt>
                <c:pt idx="3">
                  <c:v>99831.4</c:v>
                </c:pt>
              </c:numCache>
            </c:numRef>
          </c:val>
          <c:shape val="pyramidToMax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4"/>
        <c:gapDepth val="54"/>
        <c:shape val="box"/>
        <c:axId val="123517184"/>
        <c:axId val="123518976"/>
        <c:axId val="0"/>
      </c:bar3DChart>
      <c:catAx>
        <c:axId val="123517184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050" b="0">
                <a:latin typeface="+mj-lt"/>
              </a:defRPr>
            </a:pPr>
            <a:endParaRPr lang="ru-RU"/>
          </a:p>
        </c:txPr>
        <c:crossAx val="123518976"/>
        <c:crosses val="autoZero"/>
        <c:auto val="1"/>
        <c:lblAlgn val="ctr"/>
        <c:lblOffset val="100"/>
        <c:noMultiLvlLbl val="0"/>
      </c:catAx>
      <c:valAx>
        <c:axId val="123518976"/>
        <c:scaling>
          <c:orientation val="minMax"/>
        </c:scaling>
        <c:delete val="0"/>
        <c:axPos val="b"/>
        <c:majorGridlines/>
        <c:numFmt formatCode="#,##0.00" sourceLinked="1"/>
        <c:majorTickMark val="out"/>
        <c:minorTickMark val="none"/>
        <c:tickLblPos val="nextTo"/>
        <c:txPr>
          <a:bodyPr/>
          <a:lstStyle/>
          <a:p>
            <a:pPr>
              <a:defRPr sz="1000" b="1">
                <a:latin typeface="BrowalliaUPC" pitchFamily="34" charset="-34"/>
                <a:cs typeface="BrowalliaUPC" pitchFamily="34" charset="-34"/>
              </a:defRPr>
            </a:pPr>
            <a:endParaRPr lang="ru-RU"/>
          </a:p>
        </c:txPr>
        <c:crossAx val="123517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Нижегородцева Елена Юрьевна</dc:creator>
  <cp:lastModifiedBy>Нижегородцева Елена Юрьевна</cp:lastModifiedBy>
  <cp:revision>2</cp:revision>
  <dcterms:created xsi:type="dcterms:W3CDTF">2016-03-30T02:57:00Z</dcterms:created>
  <dcterms:modified xsi:type="dcterms:W3CDTF">2016-03-30T06:26:00Z</dcterms:modified>
</cp:coreProperties>
</file>