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1701"/>
        <w:gridCol w:w="1843"/>
      </w:tblGrid>
      <w:tr w:rsidR="00C0639F" w:rsidRPr="00C0639F" w:rsidTr="00C0639F">
        <w:trPr>
          <w:trHeight w:val="315"/>
        </w:trPr>
        <w:tc>
          <w:tcPr>
            <w:tcW w:w="951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39F" w:rsidRPr="00C0639F" w:rsidRDefault="00C0639F" w:rsidP="00C06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Исполнение бюджета Бодайбинского муниципального образования в 2014 году</w:t>
            </w:r>
          </w:p>
        </w:tc>
      </w:tr>
      <w:tr w:rsidR="00C0639F" w:rsidRPr="00C0639F" w:rsidTr="00C0639F">
        <w:trPr>
          <w:trHeight w:val="315"/>
        </w:trPr>
        <w:tc>
          <w:tcPr>
            <w:tcW w:w="951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0639F" w:rsidRPr="00C0639F" w:rsidRDefault="00C0639F" w:rsidP="00C06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39F" w:rsidRPr="00C0639F" w:rsidTr="00C0639F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F" w:rsidRPr="00C0639F" w:rsidRDefault="00C0639F" w:rsidP="00C06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Основные показатели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F" w:rsidRPr="00C0639F" w:rsidRDefault="00C0639F" w:rsidP="00C06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F" w:rsidRPr="00C0639F" w:rsidRDefault="00C0639F" w:rsidP="00C06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% исполнения относительно утвержденного плана</w:t>
            </w:r>
          </w:p>
        </w:tc>
      </w:tr>
      <w:tr w:rsidR="00C0639F" w:rsidRPr="00C0639F" w:rsidTr="00C0639F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9F" w:rsidRPr="00C0639F" w:rsidRDefault="00C0639F" w:rsidP="00C06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9F" w:rsidRPr="00C0639F" w:rsidRDefault="00C0639F" w:rsidP="00C06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187 736,90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9F" w:rsidRPr="00C0639F" w:rsidRDefault="00C0639F" w:rsidP="00C06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C0639F" w:rsidRPr="00C0639F" w:rsidTr="00C0639F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9F" w:rsidRPr="00C0639F" w:rsidRDefault="00C0639F" w:rsidP="00C06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9F" w:rsidRPr="00C0639F" w:rsidRDefault="00C0639F" w:rsidP="00C06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105 773,20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9F" w:rsidRPr="00C0639F" w:rsidRDefault="00C0639F" w:rsidP="00C06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C0639F" w:rsidRPr="00C0639F" w:rsidTr="00C0639F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9F" w:rsidRPr="00C0639F" w:rsidRDefault="00C0639F" w:rsidP="00C06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9F" w:rsidRPr="00C0639F" w:rsidRDefault="00C0639F" w:rsidP="00C06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81 963,70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9F" w:rsidRPr="00C0639F" w:rsidRDefault="00C0639F" w:rsidP="00C06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0639F" w:rsidRPr="00C0639F" w:rsidTr="00C0639F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9F" w:rsidRPr="00C0639F" w:rsidRDefault="00C0639F" w:rsidP="00C06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Целевые средства из бюджетов других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9F" w:rsidRPr="00C0639F" w:rsidRDefault="00C0639F" w:rsidP="00C06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63 792,80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9F" w:rsidRPr="00C0639F" w:rsidRDefault="00C0639F" w:rsidP="00C06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0639F" w:rsidRPr="00C0639F" w:rsidTr="00C0639F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9F" w:rsidRPr="00C0639F" w:rsidRDefault="00C0639F" w:rsidP="00C06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РАСХОДЫ, 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9F" w:rsidRPr="00C0639F" w:rsidRDefault="00C0639F" w:rsidP="00C06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151 410,60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9F" w:rsidRPr="00C0639F" w:rsidRDefault="00C0639F" w:rsidP="00C06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74,3</w:t>
            </w:r>
          </w:p>
        </w:tc>
      </w:tr>
      <w:tr w:rsidR="00C0639F" w:rsidRPr="00C0639F" w:rsidTr="00C0639F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9F" w:rsidRPr="00C0639F" w:rsidRDefault="00C0639F" w:rsidP="00C06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Средства на исполнение региональных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9F" w:rsidRPr="00C0639F" w:rsidRDefault="00C0639F" w:rsidP="00C06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22 598,10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9F" w:rsidRPr="00C0639F" w:rsidRDefault="00C0639F" w:rsidP="00C06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</w:tr>
      <w:tr w:rsidR="00C0639F" w:rsidRPr="00C0639F" w:rsidTr="00C0639F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9F" w:rsidRPr="00C0639F" w:rsidRDefault="00C0639F" w:rsidP="00C06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C0639F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(-) </w:t>
            </w:r>
            <w:proofErr w:type="gramEnd"/>
            <w:r w:rsidRPr="00C0639F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9F" w:rsidRPr="00C0639F" w:rsidRDefault="00C0639F" w:rsidP="00C06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639F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36 326,30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9F" w:rsidRPr="00C0639F" w:rsidRDefault="00C0639F" w:rsidP="00C06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639F" w:rsidRDefault="00C0639F"/>
    <w:p w:rsidR="00C0639F" w:rsidRDefault="00C0639F" w:rsidP="00C0639F"/>
    <w:p w:rsidR="00C0639F" w:rsidRPr="00C0639F" w:rsidRDefault="00C0639F" w:rsidP="00C0639F">
      <w:pPr>
        <w:tabs>
          <w:tab w:val="left" w:pos="854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Структура бюджета                                                                                                                                 </w:t>
      </w:r>
      <w:r w:rsidRPr="00C0639F">
        <w:rPr>
          <w:rFonts w:asciiTheme="majorHAnsi" w:hAnsiTheme="majorHAnsi"/>
        </w:rPr>
        <w:t>Тыс.руб.</w:t>
      </w:r>
    </w:p>
    <w:p w:rsidR="000F61D6" w:rsidRPr="00C0639F" w:rsidRDefault="00C0639F" w:rsidP="00C0639F">
      <w:bookmarkStart w:id="0" w:name="_GoBack"/>
      <w:r>
        <w:rPr>
          <w:noProof/>
          <w:lang w:eastAsia="ru-RU"/>
        </w:rPr>
        <w:drawing>
          <wp:inline distT="0" distB="0" distL="0" distR="0" wp14:anchorId="3FC8022F" wp14:editId="23C4ABD4">
            <wp:extent cx="6019138" cy="3927944"/>
            <wp:effectExtent l="0" t="0" r="20320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0F61D6" w:rsidRPr="00C0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9F"/>
    <w:rsid w:val="000F61D6"/>
    <w:rsid w:val="00C0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spPr>
            <a:gradFill flip="none" rotWithShape="1">
              <a:gsLst>
                <a:gs pos="0">
                  <a:srgbClr val="CCCCFF"/>
                </a:gs>
                <a:gs pos="17999">
                  <a:srgbClr val="99CCFF"/>
                </a:gs>
                <a:gs pos="36000">
                  <a:srgbClr val="9966FF"/>
                </a:gs>
                <a:gs pos="61000">
                  <a:srgbClr val="CC99FF"/>
                </a:gs>
                <a:gs pos="82001">
                  <a:srgbClr val="99CCFF"/>
                </a:gs>
                <a:gs pos="100000">
                  <a:srgbClr val="CCCCFF"/>
                </a:gs>
              </a:gsLst>
              <a:path path="rect">
                <a:fillToRect l="50000" t="50000" r="50000" b="50000"/>
              </a:path>
              <a:tileRect/>
            </a:gradFill>
            <a:ln>
              <a:solidFill>
                <a:schemeClr val="accent4">
                  <a:lumMod val="75000"/>
                </a:schemeClr>
              </a:solidFill>
            </a:ln>
            <a:scene3d>
              <a:camera prst="orthographicFront"/>
              <a:lightRig rig="threePt" dir="t"/>
            </a:scene3d>
            <a:sp3d>
              <a:bevelT prst="relaxedInset"/>
              <a:bevelB w="101600" prst="riblet"/>
              <a:contourClr>
                <a:srgbClr val="000000"/>
              </a:contourClr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latin typeface="+mj-lt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'2014'!$A$13:$A$16</c:f>
              <c:strCache>
                <c:ptCount val="4"/>
                <c:pt idx="0">
                  <c:v>ДОХОДЫ, ВСЕГО из них налоговые и неналоговые</c:v>
                </c:pt>
                <c:pt idx="1">
                  <c:v>Безвозмездные поступления, всего, из них целевые средства из бюджетов других уровней</c:v>
                </c:pt>
                <c:pt idx="2">
                  <c:v>РАСХОДЫ, ВСЕГО из них средства на исполнение региональных целевых программ</c:v>
                </c:pt>
                <c:pt idx="3">
                  <c:v>Дефицит (-) Профицит (+)</c:v>
                </c:pt>
              </c:strCache>
            </c:strRef>
          </c:cat>
          <c:val>
            <c:numRef>
              <c:f>'2014'!$B$13:$B$16</c:f>
              <c:numCache>
                <c:formatCode>#,##0.00</c:formatCode>
                <c:ptCount val="4"/>
                <c:pt idx="0">
                  <c:v>187736.9</c:v>
                </c:pt>
                <c:pt idx="1">
                  <c:v>81963.7</c:v>
                </c:pt>
                <c:pt idx="2">
                  <c:v>151410.6</c:v>
                </c:pt>
                <c:pt idx="3">
                  <c:v>36326.299999999988</c:v>
                </c:pt>
              </c:numCache>
            </c:numRef>
          </c:val>
        </c:ser>
        <c:ser>
          <c:idx val="1"/>
          <c:order val="1"/>
          <c:spPr>
            <a:gradFill flip="none" rotWithShape="1">
              <a:gsLst>
                <a:gs pos="0">
                  <a:srgbClr val="5E9EFF"/>
                </a:gs>
                <a:gs pos="39999">
                  <a:srgbClr val="85C2FF"/>
                </a:gs>
                <a:gs pos="70000">
                  <a:srgbClr val="C4D6EB"/>
                </a:gs>
                <a:gs pos="100000">
                  <a:srgbClr val="FFEBFA"/>
                </a:gs>
              </a:gsLst>
              <a:path path="rect">
                <a:fillToRect l="100000" t="100000"/>
              </a:path>
              <a:tileRect r="-100000" b="-100000"/>
            </a:gradFill>
            <a:ln>
              <a:solidFill>
                <a:schemeClr val="tx2">
                  <a:lumMod val="75000"/>
                </a:schemeClr>
              </a:solidFill>
            </a:ln>
            <a:scene3d>
              <a:camera prst="orthographicFront"/>
              <a:lightRig rig="threePt" dir="t"/>
            </a:scene3d>
            <a:sp3d>
              <a:bevelT w="139700" prst="cross"/>
              <a:bevelB prst="slope"/>
              <a:contourClr>
                <a:srgbClr val="000000"/>
              </a:contourClr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latin typeface="+mj-lt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'2014'!$A$13:$A$16</c:f>
              <c:strCache>
                <c:ptCount val="4"/>
                <c:pt idx="0">
                  <c:v>ДОХОДЫ, ВСЕГО из них налоговые и неналоговые</c:v>
                </c:pt>
                <c:pt idx="1">
                  <c:v>Безвозмездные поступления, всего, из них целевые средства из бюджетов других уровней</c:v>
                </c:pt>
                <c:pt idx="2">
                  <c:v>РАСХОДЫ, ВСЕГО из них средства на исполнение региональных целевых программ</c:v>
                </c:pt>
                <c:pt idx="3">
                  <c:v>Дефицит (-) Профицит (+)</c:v>
                </c:pt>
              </c:strCache>
            </c:strRef>
          </c:cat>
          <c:val>
            <c:numRef>
              <c:f>'2014'!$C$13:$C$16</c:f>
              <c:numCache>
                <c:formatCode>#,##0.00</c:formatCode>
                <c:ptCount val="4"/>
                <c:pt idx="0">
                  <c:v>105773.2</c:v>
                </c:pt>
                <c:pt idx="1">
                  <c:v>63792.799999999996</c:v>
                </c:pt>
                <c:pt idx="2">
                  <c:v>22598.1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4"/>
        <c:gapDepth val="194"/>
        <c:shape val="cylinder"/>
        <c:axId val="123984896"/>
        <c:axId val="155098496"/>
        <c:axId val="0"/>
      </c:bar3DChart>
      <c:catAx>
        <c:axId val="1239848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ru-RU"/>
          </a:p>
        </c:txPr>
        <c:crossAx val="155098496"/>
        <c:crosses val="autoZero"/>
        <c:auto val="1"/>
        <c:lblAlgn val="ctr"/>
        <c:lblOffset val="100"/>
        <c:noMultiLvlLbl val="0"/>
      </c:catAx>
      <c:valAx>
        <c:axId val="1550984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ru-RU"/>
          </a:p>
        </c:txPr>
        <c:crossAx val="1239848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+mj-lt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Нижегородцева Елена Юрьевна</cp:lastModifiedBy>
  <cp:revision>1</cp:revision>
  <dcterms:created xsi:type="dcterms:W3CDTF">2016-03-30T06:37:00Z</dcterms:created>
  <dcterms:modified xsi:type="dcterms:W3CDTF">2016-03-30T06:45:00Z</dcterms:modified>
</cp:coreProperties>
</file>