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3E" w:rsidRPr="005C508F" w:rsidRDefault="00D60B3E" w:rsidP="00D60B3E">
      <w:pPr>
        <w:ind w:firstLine="708"/>
        <w:jc w:val="both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  <w:r w:rsidRPr="005C508F">
        <w:rPr>
          <w:rFonts w:ascii="Times New Roman" w:hAnsi="Times New Roman" w:cs="Times New Roman"/>
          <w:sz w:val="40"/>
          <w:szCs w:val="24"/>
        </w:rPr>
        <w:t xml:space="preserve">Стабильное развитие золотодобывающих предприятий на территории муниципального образования, должно обеспечить наполняемость его бюджета, однако влияние различных факторов приводит к тому, что инвестиции в золотодобывающие предприятия не коррелируют напрямую с повышением доходной части местного бюджета. </w:t>
      </w:r>
    </w:p>
    <w:p w:rsidR="00990A7B" w:rsidRDefault="00D60B3E">
      <w:r>
        <w:rPr>
          <w:noProof/>
          <w:lang w:eastAsia="ru-RU"/>
        </w:rPr>
        <w:drawing>
          <wp:inline distT="0" distB="0" distL="0" distR="0" wp14:anchorId="316DB04F" wp14:editId="3384EFE6">
            <wp:extent cx="5940425" cy="577215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0A7B" w:rsidRPr="00990A7B" w:rsidRDefault="00990A7B" w:rsidP="00990A7B">
      <w:pPr>
        <w:spacing w:after="0"/>
        <w:ind w:firstLine="708"/>
        <w:jc w:val="both"/>
        <w:rPr>
          <w:rFonts w:ascii="Times New Roman" w:eastAsia="Corbel" w:hAnsi="Times New Roman" w:cs="Times New Roman"/>
          <w:sz w:val="36"/>
          <w:szCs w:val="24"/>
        </w:rPr>
      </w:pPr>
      <w:r w:rsidRPr="00990A7B">
        <w:rPr>
          <w:rFonts w:ascii="Times New Roman" w:eastAsia="Corbel" w:hAnsi="Times New Roman" w:cs="Times New Roman"/>
          <w:sz w:val="36"/>
          <w:szCs w:val="24"/>
        </w:rPr>
        <w:t>Как видно из приведенных данных, крупнейшие золотодобывающие предприятия показывают ежегодный рост платежей по НДФЛ, но в связи со штатно-</w:t>
      </w:r>
      <w:r w:rsidRPr="00990A7B">
        <w:rPr>
          <w:rFonts w:ascii="Times New Roman" w:eastAsia="Corbel" w:hAnsi="Times New Roman" w:cs="Times New Roman"/>
          <w:sz w:val="36"/>
          <w:szCs w:val="24"/>
        </w:rPr>
        <w:lastRenderedPageBreak/>
        <w:t xml:space="preserve">организационными мероприятиями, проводимыми отдельными предприятиями, а также стагнации в горнодобывающей отрасли района, наблюдается устойчивое снижение прироста данного вида поступлений, который демонстрировался на уровне 14-16% ежегодно с 2008 по 2016 годы. Соотношение поступлений 2017 года с 2016 годом составляет всего 105% </w:t>
      </w:r>
      <w:proofErr w:type="gramStart"/>
      <w:r w:rsidRPr="00990A7B">
        <w:rPr>
          <w:rFonts w:ascii="Times New Roman" w:eastAsia="Corbel" w:hAnsi="Times New Roman" w:cs="Times New Roman"/>
          <w:sz w:val="36"/>
          <w:szCs w:val="24"/>
        </w:rPr>
        <w:t>( 97</w:t>
      </w:r>
      <w:proofErr w:type="gramEnd"/>
      <w:r w:rsidRPr="00990A7B">
        <w:rPr>
          <w:rFonts w:ascii="Times New Roman" w:eastAsia="Corbel" w:hAnsi="Times New Roman" w:cs="Times New Roman"/>
          <w:sz w:val="36"/>
          <w:szCs w:val="24"/>
        </w:rPr>
        <w:t xml:space="preserve"> </w:t>
      </w:r>
      <w:proofErr w:type="spellStart"/>
      <w:r w:rsidRPr="00990A7B">
        <w:rPr>
          <w:rFonts w:ascii="Times New Roman" w:eastAsia="Corbel" w:hAnsi="Times New Roman" w:cs="Times New Roman"/>
          <w:sz w:val="36"/>
          <w:szCs w:val="24"/>
        </w:rPr>
        <w:t>млн.руб</w:t>
      </w:r>
      <w:proofErr w:type="spellEnd"/>
      <w:r w:rsidRPr="00990A7B">
        <w:rPr>
          <w:rFonts w:ascii="Times New Roman" w:eastAsia="Corbel" w:hAnsi="Times New Roman" w:cs="Times New Roman"/>
          <w:sz w:val="36"/>
          <w:szCs w:val="24"/>
        </w:rPr>
        <w:t xml:space="preserve">. к 92 </w:t>
      </w:r>
      <w:proofErr w:type="spellStart"/>
      <w:r w:rsidRPr="00990A7B">
        <w:rPr>
          <w:rFonts w:ascii="Times New Roman" w:eastAsia="Corbel" w:hAnsi="Times New Roman" w:cs="Times New Roman"/>
          <w:sz w:val="36"/>
          <w:szCs w:val="24"/>
        </w:rPr>
        <w:t>млн.руб</w:t>
      </w:r>
      <w:proofErr w:type="spellEnd"/>
      <w:r w:rsidRPr="00990A7B">
        <w:rPr>
          <w:rFonts w:ascii="Times New Roman" w:eastAsia="Corbel" w:hAnsi="Times New Roman" w:cs="Times New Roman"/>
          <w:sz w:val="36"/>
          <w:szCs w:val="24"/>
        </w:rPr>
        <w:t xml:space="preserve">.), и такая тенденция будет сохранятся ближайшие 3 года. </w:t>
      </w:r>
    </w:p>
    <w:p w:rsidR="00990A7B" w:rsidRPr="00990A7B" w:rsidRDefault="00990A7B" w:rsidP="00990A7B">
      <w:pPr>
        <w:spacing w:after="0"/>
        <w:jc w:val="both"/>
        <w:rPr>
          <w:rFonts w:ascii="Times New Roman" w:eastAsia="Corbel" w:hAnsi="Times New Roman" w:cs="Times New Roman"/>
          <w:sz w:val="36"/>
          <w:szCs w:val="24"/>
        </w:rPr>
      </w:pPr>
      <w:r w:rsidRPr="00990A7B">
        <w:rPr>
          <w:rFonts w:ascii="Times New Roman" w:eastAsia="Corbel" w:hAnsi="Times New Roman" w:cs="Times New Roman"/>
          <w:sz w:val="36"/>
          <w:szCs w:val="24"/>
        </w:rPr>
        <w:tab/>
        <w:t xml:space="preserve">Ниже приведены данные по предприятиям золотодобывающей отрасли, которые показали существенное снижение платежей по НДФЛ в 2017 году.   </w:t>
      </w:r>
    </w:p>
    <w:p w:rsidR="005C508F" w:rsidRDefault="00990A7B" w:rsidP="00990A7B">
      <w:r>
        <w:rPr>
          <w:noProof/>
          <w:lang w:eastAsia="ru-RU"/>
        </w:rPr>
        <w:drawing>
          <wp:inline distT="0" distB="0" distL="0" distR="0" wp14:anchorId="219E5FAA" wp14:editId="0C83426A">
            <wp:extent cx="5453063" cy="4033838"/>
            <wp:effectExtent l="0" t="0" r="1460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508F" w:rsidRPr="005C508F" w:rsidRDefault="005C508F" w:rsidP="005C508F">
      <w:pPr>
        <w:spacing w:after="0"/>
        <w:ind w:firstLine="708"/>
        <w:jc w:val="both"/>
        <w:rPr>
          <w:rFonts w:ascii="Times New Roman" w:eastAsia="Corbel" w:hAnsi="Times New Roman" w:cs="Times New Roman"/>
          <w:sz w:val="36"/>
          <w:szCs w:val="24"/>
        </w:rPr>
      </w:pPr>
      <w:r w:rsidRPr="005C508F">
        <w:rPr>
          <w:rFonts w:ascii="Times New Roman" w:eastAsia="Corbel" w:hAnsi="Times New Roman" w:cs="Times New Roman"/>
          <w:sz w:val="36"/>
          <w:szCs w:val="24"/>
        </w:rPr>
        <w:t xml:space="preserve">Несмотря на инвестиционную привлекательность Бодайбинского района в части золотодобычи и перспективы его экономического развития, налоговый потенциал связан непосредственно с составом и структурой налоговой системы и определяет величины налоговых поступлений в местные бюджеты, а также бюджеты региона и государства. Структура доходной части бюджета определяется в </w:t>
      </w:r>
      <w:r w:rsidRPr="005C508F">
        <w:rPr>
          <w:rFonts w:ascii="Times New Roman" w:eastAsia="Corbel" w:hAnsi="Times New Roman" w:cs="Times New Roman"/>
          <w:sz w:val="36"/>
          <w:szCs w:val="24"/>
        </w:rPr>
        <w:lastRenderedPageBreak/>
        <w:t xml:space="preserve">основном воздействием внешних факторов, прежде всего действующим бюджетно-налоговым законодательством. </w:t>
      </w:r>
    </w:p>
    <w:p w:rsidR="005C508F" w:rsidRPr="005C508F" w:rsidRDefault="005C508F" w:rsidP="005C508F">
      <w:pPr>
        <w:spacing w:after="0"/>
        <w:ind w:firstLine="708"/>
        <w:jc w:val="both"/>
        <w:rPr>
          <w:rFonts w:ascii="Times New Roman" w:eastAsia="Corbel" w:hAnsi="Times New Roman" w:cs="Times New Roman"/>
          <w:sz w:val="36"/>
          <w:szCs w:val="24"/>
        </w:rPr>
      </w:pPr>
      <w:r w:rsidRPr="005C508F">
        <w:rPr>
          <w:rFonts w:ascii="Times New Roman" w:eastAsia="Corbel" w:hAnsi="Times New Roman" w:cs="Times New Roman"/>
          <w:sz w:val="36"/>
          <w:szCs w:val="24"/>
        </w:rPr>
        <w:t>Наглядно распределение доходов, собранных на территории Бодайбинского муниципального образования по уровням бюджетов иллюстрирует диаграмма.</w:t>
      </w:r>
    </w:p>
    <w:p w:rsidR="005C508F" w:rsidRPr="005C508F" w:rsidRDefault="005C508F" w:rsidP="005C508F">
      <w:pPr>
        <w:spacing w:after="0"/>
        <w:ind w:firstLine="708"/>
        <w:jc w:val="both"/>
        <w:rPr>
          <w:rFonts w:ascii="Times New Roman" w:eastAsia="Corbel" w:hAnsi="Times New Roman" w:cs="Times New Roman"/>
          <w:sz w:val="28"/>
          <w:szCs w:val="24"/>
        </w:rPr>
      </w:pPr>
      <w:r>
        <w:rPr>
          <w:rFonts w:ascii="Times New Roman" w:eastAsia="Corbel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614C975">
            <wp:extent cx="5552440" cy="43146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83" cy="434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08F" w:rsidRPr="005C508F" w:rsidRDefault="005C508F" w:rsidP="005C5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5C508F">
        <w:rPr>
          <w:rFonts w:ascii="Times New Roman" w:hAnsi="Times New Roman" w:cs="Times New Roman"/>
          <w:sz w:val="36"/>
          <w:szCs w:val="24"/>
        </w:rPr>
        <w:t xml:space="preserve">Хотя </w:t>
      </w:r>
      <w:proofErr w:type="spellStart"/>
      <w:r w:rsidRPr="005C508F">
        <w:rPr>
          <w:rFonts w:ascii="Times New Roman" w:hAnsi="Times New Roman" w:cs="Times New Roman"/>
          <w:sz w:val="36"/>
          <w:szCs w:val="24"/>
        </w:rPr>
        <w:t>бюджетообразующими</w:t>
      </w:r>
      <w:proofErr w:type="spellEnd"/>
      <w:r w:rsidRPr="005C508F">
        <w:rPr>
          <w:rFonts w:ascii="Times New Roman" w:hAnsi="Times New Roman" w:cs="Times New Roman"/>
          <w:sz w:val="36"/>
          <w:szCs w:val="24"/>
        </w:rPr>
        <w:t xml:space="preserve"> налогами местных бюджетов, при введении дополнительного уровня местного самоуправления в виде городских и сельских поселений, по замыслу законодателей должны были стать налог на землю и налог на имущество физических лиц, их совокупная доля в структуре доходов бюджета Бодайбинского муниципального образования составляет не более 12-16%, тогда как отчисления в размере только 10 % от налога на доходы физических лиц составляют более 70%. </w:t>
      </w:r>
    </w:p>
    <w:p w:rsidR="005C508F" w:rsidRPr="005C508F" w:rsidRDefault="005C508F" w:rsidP="005C508F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5C508F">
        <w:rPr>
          <w:rFonts w:ascii="Times New Roman" w:hAnsi="Times New Roman" w:cs="Times New Roman"/>
          <w:sz w:val="36"/>
          <w:szCs w:val="24"/>
        </w:rPr>
        <w:tab/>
        <w:t xml:space="preserve">Возможности влияния на размер поступлений от налога на имущество физических лиц у местного самоуправления ограничены, так как решение о переходе на формирование налоговой базы исходя из кадастровой стоимости </w:t>
      </w:r>
      <w:r w:rsidRPr="005C508F">
        <w:rPr>
          <w:rFonts w:ascii="Times New Roman" w:hAnsi="Times New Roman" w:cs="Times New Roman"/>
          <w:sz w:val="36"/>
          <w:szCs w:val="24"/>
        </w:rPr>
        <w:lastRenderedPageBreak/>
        <w:t xml:space="preserve">принимается на уровне регионов, а резкое повышение ставки налога даже в пределах, установленных Налоговым Кодексом РФ, может привести к нежелательному повышению социальной напряженности. </w:t>
      </w:r>
    </w:p>
    <w:p w:rsidR="00DF6ABA" w:rsidRPr="005C508F" w:rsidRDefault="005C508F" w:rsidP="005C50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6247A7E" wp14:editId="107BF9E9">
            <wp:extent cx="5939790" cy="2715333"/>
            <wp:effectExtent l="0" t="0" r="381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F6ABA" w:rsidRPr="005C508F" w:rsidSect="005C508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1"/>
    <w:rsid w:val="00261550"/>
    <w:rsid w:val="005B59F1"/>
    <w:rsid w:val="005C508F"/>
    <w:rsid w:val="00990A7B"/>
    <w:rsid w:val="00D54CB7"/>
    <w:rsid w:val="00D60B3E"/>
    <w:rsid w:val="00D74346"/>
    <w:rsid w:val="00D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6003-A5D7-4CFE-BF69-CCFCCE3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rgbClr val="FF0000"/>
                </a:solidFill>
                <a:latin typeface="Edwardian Script ITC" panose="030303020407070D0804" pitchFamily="66" charset="0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Анализ уплаченных налогов крупнейшими золотодобывающими предприятиями в 2016 и 2017 годах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rgbClr val="FF0000"/>
              </a:solidFill>
              <a:latin typeface="Edwardian Script ITC" panose="030303020407070D0804" pitchFamily="66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уплаченного налога за 2017 г. тыс.руб.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1"/>
              </a:solidFill>
            </a:ln>
            <a:effectLst/>
            <a:scene3d>
              <a:camera prst="orthographicFront"/>
              <a:lightRig rig="threePt" dir="t"/>
            </a:scene3d>
            <a:sp3d>
              <a:bevelT prst="convex"/>
              <a:bevelB w="101600" prst="riblet"/>
              <a:contourClr>
                <a:schemeClr val="accent1"/>
              </a:contourClr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ЗАО "А/С "ВИТИМ"</c:v>
                </c:pt>
                <c:pt idx="1">
                  <c:v>ОАО"ВЫСОЧАЙШИЙ"</c:v>
                </c:pt>
                <c:pt idx="2">
                  <c:v>ЗАО "ГПП "РЕТКОН"</c:v>
                </c:pt>
                <c:pt idx="3">
                  <c:v>АО "ЗДК "ЛЕНЗОЛОТО"</c:v>
                </c:pt>
                <c:pt idx="4">
                  <c:v>АО "СЕВЗОТО"</c:v>
                </c:pt>
                <c:pt idx="5">
                  <c:v>ЗАО Ленсиб</c:v>
                </c:pt>
                <c:pt idx="6">
                  <c:v>АО "СВЕТЛЫЙ"</c:v>
                </c:pt>
                <c:pt idx="7">
                  <c:v>АО "ВИТИМЭНЕРГО"</c:v>
                </c:pt>
                <c:pt idx="8">
                  <c:v>ОГБУЗ "Районная больница г. Бодайбо"</c:v>
                </c:pt>
                <c:pt idx="9">
                  <c:v>МУП "ТЕПЛОВОДОКАНАЛ"</c:v>
                </c:pt>
                <c:pt idx="10">
                  <c:v>ООО "ЛЕНГЕО"</c:v>
                </c:pt>
                <c:pt idx="11">
                  <c:v>ООО "ЛЕНРЭМ"</c:v>
                </c:pt>
                <c:pt idx="12">
                  <c:v>АО "Полюс Логистика"</c:v>
                </c:pt>
                <c:pt idx="13">
                  <c:v>АО "ДАЛЬНЯЯ ТАЙГА"</c:v>
                </c:pt>
                <c:pt idx="14">
                  <c:v>Филиал "ВостCибаэронавигация" ФГУП </c:v>
                </c:pt>
                <c:pt idx="15">
                  <c:v>ООО "ЛЕНА-СЕРВИС"</c:v>
                </c:pt>
                <c:pt idx="16">
                  <c:v>МО МВД РОССИИ "БОДАЙБИНСКИЙ"</c:v>
                </c:pt>
                <c:pt idx="17">
                  <c:v>ООО "Угахан"</c:v>
                </c:pt>
              </c:strCache>
            </c:strRef>
          </c:cat>
          <c:val>
            <c:numRef>
              <c:f>Лист1!$B$2:$B$19</c:f>
              <c:numCache>
                <c:formatCode>#,##0</c:formatCode>
                <c:ptCount val="18"/>
                <c:pt idx="0">
                  <c:v>111361</c:v>
                </c:pt>
                <c:pt idx="1">
                  <c:v>75110</c:v>
                </c:pt>
                <c:pt idx="2">
                  <c:v>55592</c:v>
                </c:pt>
                <c:pt idx="3">
                  <c:v>50580</c:v>
                </c:pt>
                <c:pt idx="4">
                  <c:v>26839</c:v>
                </c:pt>
                <c:pt idx="5">
                  <c:v>25034</c:v>
                </c:pt>
                <c:pt idx="6">
                  <c:v>23981</c:v>
                </c:pt>
                <c:pt idx="7">
                  <c:v>23702</c:v>
                </c:pt>
                <c:pt idx="8">
                  <c:v>20553</c:v>
                </c:pt>
                <c:pt idx="9">
                  <c:v>19510</c:v>
                </c:pt>
                <c:pt idx="10">
                  <c:v>16949</c:v>
                </c:pt>
                <c:pt idx="11">
                  <c:v>16351</c:v>
                </c:pt>
                <c:pt idx="12">
                  <c:v>15008</c:v>
                </c:pt>
                <c:pt idx="13">
                  <c:v>13105</c:v>
                </c:pt>
                <c:pt idx="14">
                  <c:v>12514</c:v>
                </c:pt>
                <c:pt idx="15">
                  <c:v>11685</c:v>
                </c:pt>
                <c:pt idx="16">
                  <c:v>10707</c:v>
                </c:pt>
                <c:pt idx="17">
                  <c:v>10070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уплаченного налога за 2016 г. тыс.руб.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accent2"/>
              </a:solidFill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  <a:contourClr>
                <a:schemeClr val="accent2"/>
              </a:contourClr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ЗАО "А/С "ВИТИМ"</c:v>
                </c:pt>
                <c:pt idx="1">
                  <c:v>ОАО"ВЫСОЧАЙШИЙ"</c:v>
                </c:pt>
                <c:pt idx="2">
                  <c:v>ЗАО "ГПП "РЕТКОН"</c:v>
                </c:pt>
                <c:pt idx="3">
                  <c:v>АО "ЗДК "ЛЕНЗОЛОТО"</c:v>
                </c:pt>
                <c:pt idx="4">
                  <c:v>АО "СЕВЗОТО"</c:v>
                </c:pt>
                <c:pt idx="5">
                  <c:v>ЗАО Ленсиб</c:v>
                </c:pt>
                <c:pt idx="6">
                  <c:v>АО "СВЕТЛЫЙ"</c:v>
                </c:pt>
                <c:pt idx="7">
                  <c:v>АО "ВИТИМЭНЕРГО"</c:v>
                </c:pt>
                <c:pt idx="8">
                  <c:v>ОГБУЗ "Районная больница г. Бодайбо"</c:v>
                </c:pt>
                <c:pt idx="9">
                  <c:v>МУП "ТЕПЛОВОДОКАНАЛ"</c:v>
                </c:pt>
                <c:pt idx="10">
                  <c:v>ООО "ЛЕНГЕО"</c:v>
                </c:pt>
                <c:pt idx="11">
                  <c:v>ООО "ЛЕНРЭМ"</c:v>
                </c:pt>
                <c:pt idx="12">
                  <c:v>АО "Полюс Логистика"</c:v>
                </c:pt>
                <c:pt idx="13">
                  <c:v>АО "ДАЛЬНЯЯ ТАЙГА"</c:v>
                </c:pt>
                <c:pt idx="14">
                  <c:v>Филиал "ВостCибаэронавигация" ФГУП </c:v>
                </c:pt>
                <c:pt idx="15">
                  <c:v>ООО "ЛЕНА-СЕРВИС"</c:v>
                </c:pt>
                <c:pt idx="16">
                  <c:v>МО МВД РОССИИ "БОДАЙБИНСКИЙ"</c:v>
                </c:pt>
                <c:pt idx="17">
                  <c:v>ООО "Угахан"</c:v>
                </c:pt>
              </c:strCache>
            </c:strRef>
          </c:cat>
          <c:val>
            <c:numRef>
              <c:f>Лист1!$C$2:$C$19</c:f>
              <c:numCache>
                <c:formatCode>#,##0</c:formatCode>
                <c:ptCount val="18"/>
                <c:pt idx="0">
                  <c:v>82877</c:v>
                </c:pt>
                <c:pt idx="1">
                  <c:v>69846</c:v>
                </c:pt>
                <c:pt idx="2">
                  <c:v>54773</c:v>
                </c:pt>
                <c:pt idx="3">
                  <c:v>41605</c:v>
                </c:pt>
                <c:pt idx="4">
                  <c:v>25651</c:v>
                </c:pt>
                <c:pt idx="5">
                  <c:v>22133</c:v>
                </c:pt>
                <c:pt idx="6">
                  <c:v>15551</c:v>
                </c:pt>
                <c:pt idx="7">
                  <c:v>22874</c:v>
                </c:pt>
                <c:pt idx="8">
                  <c:v>16604</c:v>
                </c:pt>
                <c:pt idx="9">
                  <c:v>18868</c:v>
                </c:pt>
                <c:pt idx="10">
                  <c:v>14457</c:v>
                </c:pt>
                <c:pt idx="11">
                  <c:v>14681</c:v>
                </c:pt>
                <c:pt idx="12" formatCode="General">
                  <c:v>0</c:v>
                </c:pt>
                <c:pt idx="13">
                  <c:v>11273</c:v>
                </c:pt>
                <c:pt idx="14">
                  <c:v>11521</c:v>
                </c:pt>
                <c:pt idx="15">
                  <c:v>6054</c:v>
                </c:pt>
                <c:pt idx="16">
                  <c:v>10368</c:v>
                </c:pt>
                <c:pt idx="17" formatCode="General">
                  <c:v>313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роста 2017г. по отношению к 2016г. 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cat>
            <c:strRef>
              <c:f>Лист1!$A$2:$A$19</c:f>
              <c:strCache>
                <c:ptCount val="18"/>
                <c:pt idx="0">
                  <c:v>ЗАО "А/С "ВИТИМ"</c:v>
                </c:pt>
                <c:pt idx="1">
                  <c:v>ОАО"ВЫСОЧАЙШИЙ"</c:v>
                </c:pt>
                <c:pt idx="2">
                  <c:v>ЗАО "ГПП "РЕТКОН"</c:v>
                </c:pt>
                <c:pt idx="3">
                  <c:v>АО "ЗДК "ЛЕНЗОЛОТО"</c:v>
                </c:pt>
                <c:pt idx="4">
                  <c:v>АО "СЕВЗОТО"</c:v>
                </c:pt>
                <c:pt idx="5">
                  <c:v>ЗАО Ленсиб</c:v>
                </c:pt>
                <c:pt idx="6">
                  <c:v>АО "СВЕТЛЫЙ"</c:v>
                </c:pt>
                <c:pt idx="7">
                  <c:v>АО "ВИТИМЭНЕРГО"</c:v>
                </c:pt>
                <c:pt idx="8">
                  <c:v>ОГБУЗ "Районная больница г. Бодайбо"</c:v>
                </c:pt>
                <c:pt idx="9">
                  <c:v>МУП "ТЕПЛОВОДОКАНАЛ"</c:v>
                </c:pt>
                <c:pt idx="10">
                  <c:v>ООО "ЛЕНГЕО"</c:v>
                </c:pt>
                <c:pt idx="11">
                  <c:v>ООО "ЛЕНРЭМ"</c:v>
                </c:pt>
                <c:pt idx="12">
                  <c:v>АО "Полюс Логистика"</c:v>
                </c:pt>
                <c:pt idx="13">
                  <c:v>АО "ДАЛЬНЯЯ ТАЙГА"</c:v>
                </c:pt>
                <c:pt idx="14">
                  <c:v>Филиал "ВостCибаэронавигация" ФГУП </c:v>
                </c:pt>
                <c:pt idx="15">
                  <c:v>ООО "ЛЕНА-СЕРВИС"</c:v>
                </c:pt>
                <c:pt idx="16">
                  <c:v>МО МВД РОССИИ "БОДАЙБИНСКИЙ"</c:v>
                </c:pt>
                <c:pt idx="17">
                  <c:v>ООО "Угахан"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34</c:v>
                </c:pt>
                <c:pt idx="1">
                  <c:v>8</c:v>
                </c:pt>
                <c:pt idx="2">
                  <c:v>1</c:v>
                </c:pt>
                <c:pt idx="3">
                  <c:v>22</c:v>
                </c:pt>
                <c:pt idx="4">
                  <c:v>5</c:v>
                </c:pt>
                <c:pt idx="5">
                  <c:v>13</c:v>
                </c:pt>
                <c:pt idx="6">
                  <c:v>54</c:v>
                </c:pt>
                <c:pt idx="7">
                  <c:v>4</c:v>
                </c:pt>
                <c:pt idx="8">
                  <c:v>24</c:v>
                </c:pt>
                <c:pt idx="9">
                  <c:v>3</c:v>
                </c:pt>
                <c:pt idx="10">
                  <c:v>17</c:v>
                </c:pt>
                <c:pt idx="11">
                  <c:v>11</c:v>
                </c:pt>
                <c:pt idx="13">
                  <c:v>16</c:v>
                </c:pt>
                <c:pt idx="14">
                  <c:v>9</c:v>
                </c:pt>
                <c:pt idx="15">
                  <c:v>93</c:v>
                </c:pt>
                <c:pt idx="16">
                  <c:v>3</c:v>
                </c:pt>
                <c:pt idx="17" formatCode="#,##0">
                  <c:v>3113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gapDepth val="30"/>
        <c:shape val="box"/>
        <c:axId val="-1844194880"/>
        <c:axId val="-1844188896"/>
        <c:axId val="0"/>
      </c:bar3DChart>
      <c:catAx>
        <c:axId val="-184419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44188896"/>
        <c:crosses val="autoZero"/>
        <c:auto val="1"/>
        <c:lblAlgn val="ctr"/>
        <c:lblOffset val="100"/>
        <c:noMultiLvlLbl val="0"/>
      </c:catAx>
      <c:valAx>
        <c:axId val="-184418889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4419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Сумма уплаченного налога за 2017 г. тыс.руб.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8.6171753379705965E-2"/>
                  <c:y val="2.2038564761400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110624799310031"/>
                  <c:y val="1.2593465577943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480348384018304"/>
                  <c:y val="9.4450991834575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0829685994825299E-2"/>
                  <c:y val="3.4632030339344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289663075596228E-3"/>
                  <c:y val="-6.29673278897169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Лист1!$A$30:$A$35</c:f>
              <c:strCache>
                <c:ptCount val="6"/>
                <c:pt idx="0">
                  <c:v>ОАО "Лензолото"</c:v>
                </c:pt>
                <c:pt idx="1">
                  <c:v>ЗДА "Вача"</c:v>
                </c:pt>
                <c:pt idx="2">
                  <c:v>АО "Маракан"</c:v>
                </c:pt>
                <c:pt idx="3">
                  <c:v>ООО "Артель старателей "Лена"</c:v>
                </c:pt>
                <c:pt idx="4">
                  <c:v>ООО Друза</c:v>
                </c:pt>
                <c:pt idx="5">
                  <c:v>АО "ПЕРВЕНЕЦ"</c:v>
                </c:pt>
              </c:strCache>
            </c:strRef>
          </c:cat>
          <c:val>
            <c:numRef>
              <c:f>Лист1!$B$30:$B$35</c:f>
              <c:numCache>
                <c:formatCode>General</c:formatCode>
                <c:ptCount val="6"/>
                <c:pt idx="0">
                  <c:v>835</c:v>
                </c:pt>
                <c:pt idx="1">
                  <c:v>298</c:v>
                </c:pt>
                <c:pt idx="2" formatCode="#,##0">
                  <c:v>5759</c:v>
                </c:pt>
                <c:pt idx="3" formatCode="#,##0">
                  <c:v>6232</c:v>
                </c:pt>
                <c:pt idx="4" formatCode="#,##0">
                  <c:v>49974</c:v>
                </c:pt>
                <c:pt idx="5" formatCode="#,##0">
                  <c:v>76123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Сумма уплаченного налога за 2016 г. тыс.руб.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65100" prst="coolSlant"/>
              <a:bevelB/>
            </a:sp3d>
          </c:spPr>
          <c:invertIfNegative val="0"/>
          <c:dLbls>
            <c:dLbl>
              <c:idx val="0"/>
              <c:layout>
                <c:manualLayout>
                  <c:x val="7.4526921841907928E-2"/>
                  <c:y val="-4.4077129522801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868989226788608E-2"/>
                  <c:y val="-5.03738623117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84278707214643E-2"/>
                  <c:y val="-3.778039673383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84278707214643E-2"/>
                  <c:y val="-1.8890198366915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Лист1!$A$30:$A$35</c:f>
              <c:strCache>
                <c:ptCount val="6"/>
                <c:pt idx="0">
                  <c:v>ОАО "Лензолото"</c:v>
                </c:pt>
                <c:pt idx="1">
                  <c:v>ЗДА "Вача"</c:v>
                </c:pt>
                <c:pt idx="2">
                  <c:v>АО "Маракан"</c:v>
                </c:pt>
                <c:pt idx="3">
                  <c:v>ООО "Артель старателей "Лена"</c:v>
                </c:pt>
                <c:pt idx="4">
                  <c:v>ООО Друза</c:v>
                </c:pt>
                <c:pt idx="5">
                  <c:v>АО "ПЕРВЕНЕЦ"</c:v>
                </c:pt>
              </c:strCache>
            </c:strRef>
          </c:cat>
          <c:val>
            <c:numRef>
              <c:f>Лист1!$C$30:$C$35</c:f>
              <c:numCache>
                <c:formatCode>#,##0</c:formatCode>
                <c:ptCount val="6"/>
                <c:pt idx="0">
                  <c:v>11181</c:v>
                </c:pt>
                <c:pt idx="1">
                  <c:v>12837</c:v>
                </c:pt>
                <c:pt idx="2">
                  <c:v>11437</c:v>
                </c:pt>
                <c:pt idx="3">
                  <c:v>10047</c:v>
                </c:pt>
                <c:pt idx="4">
                  <c:v>61765</c:v>
                </c:pt>
                <c:pt idx="5">
                  <c:v>77450</c:v>
                </c:pt>
              </c:numCache>
            </c:numRef>
          </c:val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% снижения 2017г. по отношению к 2016г.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Лист1!$A$30:$A$35</c:f>
              <c:strCache>
                <c:ptCount val="6"/>
                <c:pt idx="0">
                  <c:v>ОАО "Лензолото"</c:v>
                </c:pt>
                <c:pt idx="1">
                  <c:v>ЗДА "Вача"</c:v>
                </c:pt>
                <c:pt idx="2">
                  <c:v>АО "Маракан"</c:v>
                </c:pt>
                <c:pt idx="3">
                  <c:v>ООО "Артель старателей "Лена"</c:v>
                </c:pt>
                <c:pt idx="4">
                  <c:v>ООО Друза</c:v>
                </c:pt>
                <c:pt idx="5">
                  <c:v>АО "ПЕРВЕНЕЦ"</c:v>
                </c:pt>
              </c:strCache>
            </c:strRef>
          </c:cat>
          <c:val>
            <c:numRef>
              <c:f>Лист1!$D$30:$D$35</c:f>
              <c:numCache>
                <c:formatCode>General</c:formatCode>
                <c:ptCount val="6"/>
                <c:pt idx="0">
                  <c:v>92.5</c:v>
                </c:pt>
                <c:pt idx="1">
                  <c:v>97.7</c:v>
                </c:pt>
                <c:pt idx="2">
                  <c:v>49.6</c:v>
                </c:pt>
                <c:pt idx="3">
                  <c:v>38</c:v>
                </c:pt>
                <c:pt idx="4">
                  <c:v>19.100000000000001</c:v>
                </c:pt>
                <c:pt idx="5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overlap val="100"/>
        <c:axId val="-1844188352"/>
        <c:axId val="-1844195424"/>
      </c:barChart>
      <c:catAx>
        <c:axId val="-184418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Edwardian Script ITC" panose="030303020407070D0804" pitchFamily="66" charset="0"/>
                <a:ea typeface="+mn-ea"/>
                <a:cs typeface="+mn-cs"/>
              </a:defRPr>
            </a:pPr>
            <a:endParaRPr lang="ru-RU"/>
          </a:p>
        </c:txPr>
        <c:crossAx val="-1844195424"/>
        <c:crosses val="autoZero"/>
        <c:auto val="1"/>
        <c:lblAlgn val="ctr"/>
        <c:lblOffset val="100"/>
        <c:noMultiLvlLbl val="0"/>
      </c:catAx>
      <c:valAx>
        <c:axId val="-18441954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84418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771969441761437E-2"/>
          <c:y val="0.81503744076980777"/>
          <c:w val="0.90442967557866105"/>
          <c:h val="0.16607236086327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chemeClr val="tx1"/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Налоги на имущество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20" baseline="0">
              <a:solidFill>
                <a:schemeClr val="tx1"/>
              </a:solidFill>
              <a:latin typeface="Arial Black" panose="020B0A040201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  <a:tileRect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'25410000000 Бодайбинское го (2'!$C$161:$C$163</c:f>
              <c:strCache>
                <c:ptCount val="2"/>
                <c:pt idx="0">
                  <c:v>Налог на имущество физических лиц (поступает в бюджеты поселений)</c:v>
                </c:pt>
                <c:pt idx="1">
                  <c:v>Налог на имущество организаций (поступает в областной бюджет)</c:v>
                </c:pt>
              </c:strCache>
            </c:strRef>
          </c:cat>
          <c:val>
            <c:numRef>
              <c:f>'25410000000 Бодайбинское го (2'!$D$161:$D$163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F1-4A8E-B0C3-663F701D5656}"/>
            </c:ext>
          </c:extLst>
        </c:ser>
        <c:ser>
          <c:idx val="1"/>
          <c:order val="1"/>
          <c:spPr>
            <a:gradFill rotWithShape="1">
              <a:gsLst>
                <a:gs pos="0">
                  <a:srgbClr val="7030A0"/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  <a:tileRect/>
            </a:gradFill>
            <a:ln w="34925" cap="flat" cmpd="sng" algn="ctr">
              <a:solidFill>
                <a:srgbClr val="0070C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5.27777777777777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F1-4A8E-B0C3-663F701D565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0277777777777787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F1-4A8E-B0C3-663F701D565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'25410000000 Бодайбинское го (2'!$C$161:$C$163</c:f>
              <c:strCache>
                <c:ptCount val="2"/>
                <c:pt idx="0">
                  <c:v>Налог на имущество физических лиц (поступает в бюджеты поселений)</c:v>
                </c:pt>
                <c:pt idx="1">
                  <c:v>Налог на имущество организаций (поступает в областной бюджет)</c:v>
                </c:pt>
              </c:strCache>
            </c:strRef>
          </c:cat>
          <c:val>
            <c:numRef>
              <c:f>'25410000000 Бодайбинское го (2'!$E$161:$E$163</c:f>
              <c:numCache>
                <c:formatCode>#,##0.0</c:formatCode>
                <c:ptCount val="2"/>
                <c:pt idx="0">
                  <c:v>7715.3</c:v>
                </c:pt>
                <c:pt idx="1">
                  <c:v>337180.8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F1-4A8E-B0C3-663F701D5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844193792"/>
        <c:axId val="-1844197600"/>
      </c:barChart>
      <c:catAx>
        <c:axId val="-1844193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ru-RU"/>
          </a:p>
        </c:txPr>
        <c:crossAx val="-1844197600"/>
        <c:crossesAt val="0"/>
        <c:auto val="1"/>
        <c:lblAlgn val="ctr"/>
        <c:lblOffset val="100"/>
        <c:noMultiLvlLbl val="0"/>
      </c:catAx>
      <c:valAx>
        <c:axId val="-1844197600"/>
        <c:scaling>
          <c:orientation val="minMax"/>
          <c:max val="40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Arial Black" panose="020B0A04020102020204" pitchFamily="34" charset="0"/>
                <a:ea typeface="+mn-ea"/>
                <a:cs typeface="+mn-cs"/>
              </a:defRPr>
            </a:pPr>
            <a:endParaRPr lang="ru-RU"/>
          </a:p>
        </c:txPr>
        <c:crossAx val="-184419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20000">
          <a:schemeClr val="accent5">
            <a:lumMod val="20000"/>
            <a:lumOff val="80000"/>
          </a:schemeClr>
        </a:gs>
        <a:gs pos="74000">
          <a:schemeClr val="accent1">
            <a:lumMod val="45000"/>
            <a:lumOff val="55000"/>
          </a:schemeClr>
        </a:gs>
        <a:gs pos="64000">
          <a:schemeClr val="accent1">
            <a:lumMod val="45000"/>
            <a:lumOff val="55000"/>
          </a:schemeClr>
        </a:gs>
        <a:gs pos="99000">
          <a:schemeClr val="accent1">
            <a:lumMod val="24000"/>
            <a:lumOff val="76000"/>
            <a:alpha val="4000"/>
          </a:schemeClr>
        </a:gs>
      </a:gsLst>
      <a:lin ang="5400000" scaled="1"/>
    </a:gradFill>
    <a:ln w="22225" cap="flat" cmpd="sng" algn="ctr">
      <a:solidFill>
        <a:schemeClr val="accent1"/>
      </a:solidFill>
      <a:round/>
    </a:ln>
    <a:effectLst/>
  </c:spPr>
  <c:txPr>
    <a:bodyPr/>
    <a:lstStyle/>
    <a:p>
      <a:pPr>
        <a:defRPr sz="1000" baseline="0">
          <a:latin typeface="Arial Black" panose="020B0A040201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3989-8DD6-4A30-B33A-FDD41B93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Елена Юрьевна</dc:creator>
  <cp:keywords/>
  <dc:description/>
  <cp:lastModifiedBy>Плешува Альмира Алексеевна</cp:lastModifiedBy>
  <cp:revision>2</cp:revision>
  <dcterms:created xsi:type="dcterms:W3CDTF">2018-05-28T07:01:00Z</dcterms:created>
  <dcterms:modified xsi:type="dcterms:W3CDTF">2018-05-28T07:01:00Z</dcterms:modified>
</cp:coreProperties>
</file>