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hd w:val="clear" w:color="auto" w:fill="F9F9F9"/>
        <w:rPr>
          <w:rFonts w:ascii="Tahoma" w:hAnsi="Tahoma" w:cs="Tahoma"/>
          <w:color w:val="383838"/>
        </w:rPr>
      </w:pPr>
      <w:r>
        <w:rPr>
          <w:rFonts w:ascii="Tahoma" w:hAnsi="Tahoma" w:cs="Tahoma"/>
          <w:color w:val="383838"/>
        </w:rPr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пропаганду своей деятельности, размещая подробную информацию о целях и задачах, времени и месте проведения уличных акций.</w:t>
      </w:r>
    </w:p>
    <w:p>
      <w:pPr>
        <w:pStyle w:val="a3"/>
        <w:shd w:val="clear" w:color="auto" w:fill="F9F9F9"/>
        <w:rPr>
          <w:rFonts w:ascii="Tahoma" w:hAnsi="Tahoma" w:cs="Tahoma"/>
          <w:color w:val="383838"/>
        </w:rPr>
      </w:pPr>
      <w:r>
        <w:rPr>
          <w:rFonts w:ascii="Tahoma" w:hAnsi="Tahoma" w:cs="Tahoma"/>
          <w:color w:val="383838"/>
        </w:rPr>
        <w:t xml:space="preserve">Важно знать, что распространение информации об общественных и религиозных объединениях, в отношении которых судом принято вступившее в законную силу решение о ликвидации или запрете деятельности, в </w:t>
      </w:r>
      <w:proofErr w:type="gramStart"/>
      <w:r>
        <w:rPr>
          <w:rFonts w:ascii="Tahoma" w:hAnsi="Tahoma" w:cs="Tahoma"/>
          <w:color w:val="383838"/>
        </w:rPr>
        <w:t>связи  с</w:t>
      </w:r>
      <w:proofErr w:type="gramEnd"/>
      <w:r>
        <w:rPr>
          <w:rFonts w:ascii="Tahoma" w:hAnsi="Tahoma" w:cs="Tahoma"/>
          <w:color w:val="383838"/>
        </w:rPr>
        <w:t xml:space="preserve"> выявленными фактами экстремистской деятельности, без указания на то, что оно ликвидировано или их деятельность запрещена, в соответствии со ст. 13.15 Кодекса об административных правонарушениях России является наказуемым деянием.</w:t>
      </w:r>
    </w:p>
    <w:p>
      <w:pPr>
        <w:widowControl/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Экстремистской деятельностью (экстремизмом) является: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публичное оправдание терроризма и иная террористическая деятельность;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 xml:space="preserve"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>
        <w:rPr>
          <w:rFonts w:ascii="Tahoma" w:hAnsi="Tahoma" w:cs="Tahoma"/>
          <w:color w:val="383838"/>
          <w:sz w:val="24"/>
          <w:szCs w:val="24"/>
        </w:rPr>
        <w:t>принадлежности</w:t>
      </w:r>
      <w:proofErr w:type="gramEnd"/>
      <w:r>
        <w:rPr>
          <w:rFonts w:ascii="Tahoma" w:hAnsi="Tahoma" w:cs="Tahoma"/>
          <w:color w:val="383838"/>
          <w:sz w:val="24"/>
          <w:szCs w:val="24"/>
        </w:rPr>
        <w:t xml:space="preserve"> или отношения к религии;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>
        <w:rPr>
          <w:rFonts w:ascii="Tahoma" w:hAnsi="Tahoma" w:cs="Tahoma"/>
          <w:color w:val="383838"/>
          <w:sz w:val="24"/>
          <w:szCs w:val="24"/>
        </w:rPr>
        <w:t>принадлежности</w:t>
      </w:r>
      <w:proofErr w:type="gramEnd"/>
      <w:r>
        <w:rPr>
          <w:rFonts w:ascii="Tahoma" w:hAnsi="Tahoma" w:cs="Tahoma"/>
          <w:color w:val="383838"/>
          <w:sz w:val="24"/>
          <w:szCs w:val="24"/>
        </w:rPr>
        <w:t xml:space="preserve"> или отношения к религии;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>
      <w:pPr>
        <w:widowControl/>
        <w:numPr>
          <w:ilvl w:val="0"/>
          <w:numId w:val="1"/>
        </w:numPr>
        <w:shd w:val="clear" w:color="auto" w:fill="F9F9F9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383838"/>
          <w:shd w:val="clear" w:color="auto" w:fill="F9F9F9"/>
        </w:rPr>
        <w:lastRenderedPageBreak/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>
      <w:r>
        <w:rPr>
          <w:rStyle w:val="a4"/>
          <w:rFonts w:ascii="Tahoma" w:hAnsi="Tahoma" w:cs="Tahoma"/>
          <w:color w:val="383838"/>
          <w:shd w:val="clear" w:color="auto" w:fill="F9F9F9"/>
        </w:rPr>
        <w:t>ВНИМАНИЕ!</w:t>
      </w:r>
      <w:r>
        <w:rPr>
          <w:rFonts w:ascii="Tahoma" w:hAnsi="Tahoma" w:cs="Tahoma"/>
          <w:b/>
          <w:bCs/>
          <w:color w:val="383838"/>
          <w:shd w:val="clear" w:color="auto" w:fill="F9F9F9"/>
        </w:rPr>
        <w:br/>
      </w:r>
      <w:r>
        <w:rPr>
          <w:rStyle w:val="a4"/>
          <w:rFonts w:ascii="Tahoma" w:hAnsi="Tahoma" w:cs="Tahoma"/>
          <w:color w:val="383838"/>
          <w:shd w:val="clear" w:color="auto" w:fill="F9F9F9"/>
        </w:rPr>
        <w:t>Если Вы подвергаетесь физическому или моральному экстремистскому давлению вы должны и имеете право обратиться в органы полиции лично или по телефону 02.</w:t>
      </w:r>
      <w:r>
        <w:rPr>
          <w:rFonts w:ascii="Tahoma" w:hAnsi="Tahoma" w:cs="Tahoma"/>
          <w:b/>
          <w:bCs/>
          <w:color w:val="383838"/>
          <w:shd w:val="clear" w:color="auto" w:fill="F9F9F9"/>
        </w:rPr>
        <w:br/>
      </w:r>
      <w:r>
        <w:rPr>
          <w:rStyle w:val="a4"/>
          <w:rFonts w:ascii="Tahoma" w:hAnsi="Tahoma" w:cs="Tahoma"/>
          <w:color w:val="383838"/>
          <w:shd w:val="clear" w:color="auto" w:fill="F9F9F9"/>
        </w:rPr>
        <w:t>Не допускайте насилия!</w:t>
      </w:r>
    </w:p>
    <w:p>
      <w:bookmarkStart w:id="0" w:name="_GoBack"/>
      <w:bookmarkEnd w:id="0"/>
    </w:p>
    <w:sectPr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213BA"/>
    <w:multiLevelType w:val="multilevel"/>
    <w:tmpl w:val="D8FE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3747-0D1E-4A4D-9D9D-B36ACB6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Екатерина Сергеевна</dc:creator>
  <cp:keywords/>
  <dc:description/>
  <cp:lastModifiedBy>Ефимова Екатерина Сергеевна</cp:lastModifiedBy>
  <cp:revision>2</cp:revision>
  <dcterms:created xsi:type="dcterms:W3CDTF">2021-06-18T02:09:00Z</dcterms:created>
  <dcterms:modified xsi:type="dcterms:W3CDTF">2021-06-18T02:09:00Z</dcterms:modified>
</cp:coreProperties>
</file>