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91" w:rsidRDefault="00125391" w:rsidP="00125391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ПРОЕКТ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РОССИЙСКАЯ ФЕДЕРАЦИЯ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ИРКУТСКАЯ ОБЛАСТЬ БОДАЙБИНСКИЙ РАЙОН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ДУМА БОДАЙБИНСКОГО ГОРОДСКОГО ПОСЕЛЕНИЯ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РЕШЕНИЕ</w:t>
      </w:r>
    </w:p>
    <w:p w:rsidR="00E00B6D" w:rsidRPr="00E43B85" w:rsidRDefault="00E00B6D" w:rsidP="00E00B6D">
      <w:pPr>
        <w:rPr>
          <w:sz w:val="23"/>
          <w:szCs w:val="23"/>
        </w:rPr>
      </w:pP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CE1195" w:rsidRDefault="00335CC0" w:rsidP="00335CC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6A67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26.05.2020 г.</w:t>
      </w:r>
    </w:p>
    <w:p w:rsidR="00335CC0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CE1195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CE1195" w:rsidRDefault="00467626" w:rsidP="00335CC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 внесении изменений в Правила </w:t>
      </w:r>
      <w:r w:rsidR="00335CC0" w:rsidRPr="00CE1195">
        <w:rPr>
          <w:rFonts w:ascii="Times New Roman" w:hAnsi="Times New Roman" w:cs="Times New Roman"/>
          <w:sz w:val="23"/>
          <w:szCs w:val="23"/>
        </w:rPr>
        <w:t>землепользования и застройки</w:t>
      </w:r>
    </w:p>
    <w:p w:rsidR="00335CC0" w:rsidRPr="00CE1195" w:rsidRDefault="00335CC0" w:rsidP="00335CC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CE1195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</w:p>
    <w:p w:rsidR="00335CC0" w:rsidRPr="00CE1195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CE1195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Default="00335CC0" w:rsidP="00335CC0">
      <w:pPr>
        <w:ind w:firstLine="709"/>
        <w:jc w:val="both"/>
        <w:rPr>
          <w:sz w:val="23"/>
          <w:szCs w:val="23"/>
        </w:rPr>
      </w:pPr>
      <w:r w:rsidRPr="00CE1195">
        <w:rPr>
          <w:rFonts w:eastAsia="FreeSans"/>
          <w:sz w:val="23"/>
          <w:szCs w:val="23"/>
          <w:lang w:eastAsia="en-US"/>
        </w:rPr>
        <w:t xml:space="preserve">В </w:t>
      </w:r>
      <w:r>
        <w:rPr>
          <w:rFonts w:eastAsia="FreeSans"/>
          <w:sz w:val="23"/>
          <w:szCs w:val="23"/>
          <w:lang w:eastAsia="en-US"/>
        </w:rPr>
        <w:t>соответствии с Градостроительным кодексом Российской Федерации, Земельным кодексом Российской Федерации</w:t>
      </w:r>
      <w:r w:rsidRPr="00CE1195">
        <w:rPr>
          <w:rFonts w:eastAsia="FreeSans"/>
          <w:sz w:val="23"/>
          <w:szCs w:val="23"/>
          <w:lang w:eastAsia="en-US"/>
        </w:rPr>
        <w:t>, Федеральным законом от 06.10.2003 г. № 131-ФЗ «Об общих принципах организации местного самоуправления в Российской Федерации»</w:t>
      </w:r>
      <w:r w:rsidRPr="00CE1195">
        <w:rPr>
          <w:sz w:val="23"/>
          <w:szCs w:val="23"/>
        </w:rPr>
        <w:t xml:space="preserve">, </w:t>
      </w:r>
      <w:r w:rsidRPr="00CE1195">
        <w:rPr>
          <w:rFonts w:eastAsia="FreeSans"/>
          <w:sz w:val="23"/>
          <w:szCs w:val="23"/>
          <w:lang w:eastAsia="en-US"/>
        </w:rPr>
        <w:t>ст. 6, 34 Устава Бодайбинского муниципального образования</w:t>
      </w:r>
      <w:r w:rsidRPr="00CE1195">
        <w:rPr>
          <w:sz w:val="23"/>
          <w:szCs w:val="23"/>
        </w:rPr>
        <w:t xml:space="preserve">, </w:t>
      </w:r>
      <w:r>
        <w:rPr>
          <w:sz w:val="23"/>
          <w:szCs w:val="23"/>
        </w:rPr>
        <w:t>в целях обеспечения устойчивого развития территорий и благоприятных условий жизнидеятельнояти, Дума Бодайбинского городского поселения,</w:t>
      </w:r>
    </w:p>
    <w:p w:rsidR="00E00B6D" w:rsidRPr="00E43B85" w:rsidRDefault="00E00B6D" w:rsidP="00E00B6D">
      <w:pPr>
        <w:jc w:val="both"/>
        <w:rPr>
          <w:sz w:val="23"/>
          <w:szCs w:val="23"/>
        </w:rPr>
      </w:pPr>
      <w:r w:rsidRPr="00E43B85">
        <w:rPr>
          <w:b/>
          <w:sz w:val="23"/>
          <w:szCs w:val="23"/>
        </w:rPr>
        <w:t>РЕШИЛА:</w:t>
      </w:r>
    </w:p>
    <w:p w:rsidR="007048A6" w:rsidRPr="00496B59" w:rsidRDefault="00E43B85" w:rsidP="00496B5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496B59">
        <w:rPr>
          <w:sz w:val="23"/>
          <w:szCs w:val="23"/>
        </w:rPr>
        <w:t xml:space="preserve">1. </w:t>
      </w:r>
      <w:r w:rsidR="007048A6" w:rsidRPr="00496B59">
        <w:rPr>
          <w:sz w:val="23"/>
          <w:szCs w:val="23"/>
        </w:rPr>
        <w:t xml:space="preserve">Внести изменения в </w:t>
      </w:r>
      <w:r w:rsidR="00EE2595">
        <w:rPr>
          <w:sz w:val="23"/>
          <w:szCs w:val="23"/>
        </w:rPr>
        <w:t xml:space="preserve">текстовую часть </w:t>
      </w:r>
      <w:r w:rsidR="001347FD">
        <w:rPr>
          <w:sz w:val="23"/>
          <w:szCs w:val="23"/>
        </w:rPr>
        <w:t xml:space="preserve">Правил </w:t>
      </w:r>
      <w:r w:rsidR="001347FD" w:rsidRPr="00496B59">
        <w:rPr>
          <w:sz w:val="23"/>
          <w:szCs w:val="23"/>
        </w:rPr>
        <w:t>землепользования и застройки Бодайбин</w:t>
      </w:r>
      <w:r w:rsidR="001347FD">
        <w:rPr>
          <w:sz w:val="23"/>
          <w:szCs w:val="23"/>
        </w:rPr>
        <w:t xml:space="preserve">ского муниципального образования, утвержденных </w:t>
      </w:r>
      <w:r w:rsidR="007048A6" w:rsidRPr="00496B59">
        <w:rPr>
          <w:sz w:val="23"/>
          <w:szCs w:val="23"/>
        </w:rPr>
        <w:t>решение</w:t>
      </w:r>
      <w:r w:rsidR="001347FD">
        <w:rPr>
          <w:sz w:val="23"/>
          <w:szCs w:val="23"/>
        </w:rPr>
        <w:t>м</w:t>
      </w:r>
      <w:r w:rsidR="007048A6" w:rsidRPr="00496B59">
        <w:rPr>
          <w:sz w:val="23"/>
          <w:szCs w:val="23"/>
        </w:rPr>
        <w:t xml:space="preserve"> Думы Бодайбинского городского поселения от </w:t>
      </w:r>
      <w:r w:rsidR="00214DD8" w:rsidRPr="00496B59">
        <w:rPr>
          <w:sz w:val="23"/>
          <w:szCs w:val="23"/>
        </w:rPr>
        <w:t>26</w:t>
      </w:r>
      <w:r w:rsidR="005D38BF" w:rsidRPr="00496B59">
        <w:rPr>
          <w:sz w:val="23"/>
          <w:szCs w:val="23"/>
        </w:rPr>
        <w:t>.0</w:t>
      </w:r>
      <w:r w:rsidR="00214DD8" w:rsidRPr="00496B59">
        <w:rPr>
          <w:sz w:val="23"/>
          <w:szCs w:val="23"/>
        </w:rPr>
        <w:t>5</w:t>
      </w:r>
      <w:r w:rsidR="005D38BF" w:rsidRPr="00496B59">
        <w:rPr>
          <w:sz w:val="23"/>
          <w:szCs w:val="23"/>
        </w:rPr>
        <w:t>.20</w:t>
      </w:r>
      <w:r w:rsidR="00214DD8" w:rsidRPr="00496B59">
        <w:rPr>
          <w:sz w:val="23"/>
          <w:szCs w:val="23"/>
        </w:rPr>
        <w:t>20</w:t>
      </w:r>
      <w:r w:rsidR="005D38BF" w:rsidRPr="00496B59">
        <w:rPr>
          <w:sz w:val="23"/>
          <w:szCs w:val="23"/>
        </w:rPr>
        <w:t xml:space="preserve"> </w:t>
      </w:r>
      <w:r w:rsidR="007048A6" w:rsidRPr="00496B59">
        <w:rPr>
          <w:sz w:val="23"/>
          <w:szCs w:val="23"/>
        </w:rPr>
        <w:t>г.</w:t>
      </w:r>
      <w:r w:rsidR="005D38BF" w:rsidRPr="00496B59">
        <w:rPr>
          <w:sz w:val="23"/>
          <w:szCs w:val="23"/>
        </w:rPr>
        <w:t xml:space="preserve"> № 0</w:t>
      </w:r>
      <w:r w:rsidR="00214DD8" w:rsidRPr="00496B59">
        <w:rPr>
          <w:sz w:val="23"/>
          <w:szCs w:val="23"/>
        </w:rPr>
        <w:t>8</w:t>
      </w:r>
      <w:r w:rsidR="003022B1" w:rsidRPr="00496B59">
        <w:rPr>
          <w:sz w:val="23"/>
          <w:szCs w:val="23"/>
        </w:rPr>
        <w:t>-па</w:t>
      </w:r>
      <w:r w:rsidR="007048A6" w:rsidRPr="00496B59">
        <w:rPr>
          <w:sz w:val="23"/>
          <w:szCs w:val="23"/>
        </w:rPr>
        <w:t xml:space="preserve"> «Об утверждении Правил землепользования и застройки Бодайбинск</w:t>
      </w:r>
      <w:r w:rsidR="001347FD">
        <w:rPr>
          <w:sz w:val="23"/>
          <w:szCs w:val="23"/>
        </w:rPr>
        <w:t>ого муниципального образования»:</w:t>
      </w:r>
    </w:p>
    <w:p w:rsidR="00496B59" w:rsidRPr="00496B59" w:rsidRDefault="00496B59" w:rsidP="00496B59">
      <w:pPr>
        <w:pStyle w:val="af7"/>
        <w:numPr>
          <w:ilvl w:val="1"/>
          <w:numId w:val="12"/>
        </w:numPr>
        <w:ind w:left="0" w:right="4" w:firstLine="709"/>
        <w:jc w:val="both"/>
        <w:rPr>
          <w:sz w:val="23"/>
          <w:szCs w:val="23"/>
        </w:rPr>
      </w:pPr>
      <w:r w:rsidRPr="00496B59">
        <w:rPr>
          <w:sz w:val="23"/>
          <w:szCs w:val="23"/>
        </w:rPr>
        <w:t>п. 1.1. главы 1 понятие «</w:t>
      </w:r>
      <w:r w:rsidRPr="00496B59">
        <w:rPr>
          <w:b/>
          <w:bCs/>
          <w:i/>
          <w:iCs/>
          <w:sz w:val="23"/>
          <w:szCs w:val="23"/>
        </w:rPr>
        <w:t xml:space="preserve">зоны с особыми условиями использования территорий» </w:t>
      </w:r>
      <w:r w:rsidRPr="00496B59">
        <w:rPr>
          <w:bCs/>
          <w:iCs/>
          <w:sz w:val="23"/>
          <w:szCs w:val="23"/>
        </w:rPr>
        <w:t>изложить в следующей редакции:</w:t>
      </w:r>
    </w:p>
    <w:p w:rsidR="00496B59" w:rsidRPr="00496B59" w:rsidRDefault="00496B59" w:rsidP="00496B59">
      <w:pPr>
        <w:pStyle w:val="af7"/>
        <w:ind w:right="4"/>
        <w:jc w:val="both"/>
        <w:rPr>
          <w:sz w:val="23"/>
          <w:szCs w:val="23"/>
        </w:rPr>
      </w:pPr>
      <w:r w:rsidRPr="00496B59">
        <w:rPr>
          <w:b/>
          <w:i/>
          <w:sz w:val="23"/>
          <w:szCs w:val="23"/>
        </w:rPr>
        <w:t>«зоны с особыми условиями использования территорий</w:t>
      </w:r>
      <w:r w:rsidRPr="00496B59">
        <w:rPr>
          <w:sz w:val="23"/>
          <w:szCs w:val="23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Федерации»;</w:t>
      </w:r>
    </w:p>
    <w:p w:rsidR="00496B59" w:rsidRPr="00496B59" w:rsidRDefault="00496B59" w:rsidP="00496B59">
      <w:pPr>
        <w:pStyle w:val="af7"/>
        <w:numPr>
          <w:ilvl w:val="1"/>
          <w:numId w:val="12"/>
        </w:numPr>
        <w:ind w:left="0" w:right="4" w:firstLine="709"/>
        <w:jc w:val="both"/>
        <w:rPr>
          <w:sz w:val="23"/>
          <w:szCs w:val="23"/>
        </w:rPr>
      </w:pPr>
      <w:r w:rsidRPr="00496B59">
        <w:rPr>
          <w:sz w:val="23"/>
          <w:szCs w:val="23"/>
        </w:rPr>
        <w:t xml:space="preserve"> п. 1.1. главы 1 дополнить абзацами следующего содержания:</w:t>
      </w:r>
    </w:p>
    <w:p w:rsidR="00496B59" w:rsidRPr="00496B59" w:rsidRDefault="00496B59" w:rsidP="00496B59">
      <w:pPr>
        <w:pStyle w:val="a5"/>
        <w:autoSpaceDE w:val="0"/>
        <w:autoSpaceDN w:val="0"/>
        <w:adjustRightInd w:val="0"/>
        <w:ind w:left="0"/>
        <w:jc w:val="both"/>
        <w:rPr>
          <w:rFonts w:eastAsiaTheme="minorEastAsia"/>
          <w:sz w:val="23"/>
          <w:szCs w:val="23"/>
        </w:rPr>
      </w:pPr>
      <w:r w:rsidRPr="00496B59">
        <w:rPr>
          <w:rFonts w:eastAsiaTheme="minorEastAsia"/>
          <w:b/>
          <w:i/>
          <w:sz w:val="23"/>
          <w:szCs w:val="23"/>
        </w:rPr>
        <w:t>«аэродром</w:t>
      </w:r>
      <w:r w:rsidRPr="00496B59">
        <w:rPr>
          <w:rFonts w:eastAsiaTheme="minorEastAsia"/>
          <w:sz w:val="23"/>
          <w:szCs w:val="23"/>
        </w:rPr>
        <w:t xml:space="preserve"> - участок земли или акватория с расположенными на нем зданиями, сооружениями и оборудованием, предназначенный для взлета, посадки, руления и стоянки воздушных судов;</w:t>
      </w:r>
    </w:p>
    <w:p w:rsidR="00496B59" w:rsidRPr="00496B59" w:rsidRDefault="00496B59" w:rsidP="00496B5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</w:rPr>
      </w:pPr>
      <w:r w:rsidRPr="00496B59">
        <w:rPr>
          <w:rFonts w:eastAsiaTheme="minorEastAsia"/>
          <w:b/>
          <w:i/>
          <w:sz w:val="23"/>
          <w:szCs w:val="23"/>
        </w:rPr>
        <w:t>приаэродромная территория</w:t>
      </w:r>
      <w:r w:rsidRPr="00496B59">
        <w:rPr>
          <w:rFonts w:eastAsiaTheme="minorEastAsia"/>
          <w:sz w:val="23"/>
          <w:szCs w:val="23"/>
        </w:rPr>
        <w:t xml:space="preserve"> - прилегающий к аэродрому участок земной или водной поверхности, в пределах которого (в целях обеспечения безопасности полетов и исключения вредного воздействия на здоровье людей и деятельность организаций) устанавливается зона с особыми условиями использования территории»;</w:t>
      </w:r>
    </w:p>
    <w:p w:rsidR="00496B59" w:rsidRPr="00496B59" w:rsidRDefault="00496B59" w:rsidP="00496B59">
      <w:pPr>
        <w:pStyle w:val="af7"/>
        <w:numPr>
          <w:ilvl w:val="1"/>
          <w:numId w:val="12"/>
        </w:numPr>
        <w:ind w:left="0" w:right="4" w:firstLine="709"/>
        <w:jc w:val="both"/>
        <w:rPr>
          <w:sz w:val="23"/>
          <w:szCs w:val="23"/>
        </w:rPr>
      </w:pPr>
      <w:r w:rsidRPr="00496B59">
        <w:rPr>
          <w:sz w:val="23"/>
          <w:szCs w:val="23"/>
        </w:rPr>
        <w:t>п.1.2 главы 1дополнить п.п. 11</w:t>
      </w:r>
    </w:p>
    <w:p w:rsidR="00496B59" w:rsidRPr="00496B59" w:rsidRDefault="00496B59" w:rsidP="00496B59">
      <w:pPr>
        <w:pStyle w:val="af7"/>
        <w:ind w:right="4"/>
        <w:jc w:val="both"/>
        <w:rPr>
          <w:sz w:val="23"/>
          <w:szCs w:val="23"/>
        </w:rPr>
      </w:pPr>
      <w:r w:rsidRPr="00496B59">
        <w:rPr>
          <w:sz w:val="23"/>
          <w:szCs w:val="23"/>
        </w:rPr>
        <w:t>«11. Утвержденные правила землепользования и застройки поселения, городского округа, межселенной территории не применяются в части, противоречащей ограничениям использования земельных участков и (или) расположенных на них объектов недвижимости и осуществления экономической и иной деятельности, установленным на приаэродромной территории, в границах которых полностью или частично расположена приаэродромная территория, установленная в соответствии с Воздушным кодексом Российской Федерации (далее - ограничения использования объектов недвижимости, установленные на приаэродромной территории)»;</w:t>
      </w:r>
    </w:p>
    <w:p w:rsidR="00496B59" w:rsidRPr="00496B59" w:rsidRDefault="00496B59" w:rsidP="00496B59">
      <w:pPr>
        <w:pStyle w:val="af7"/>
        <w:numPr>
          <w:ilvl w:val="1"/>
          <w:numId w:val="12"/>
        </w:numPr>
        <w:ind w:left="0" w:right="4" w:firstLine="709"/>
        <w:jc w:val="both"/>
        <w:rPr>
          <w:sz w:val="23"/>
          <w:szCs w:val="23"/>
        </w:rPr>
      </w:pPr>
      <w:r w:rsidRPr="00496B59">
        <w:rPr>
          <w:sz w:val="23"/>
          <w:szCs w:val="23"/>
        </w:rPr>
        <w:t xml:space="preserve"> п 2.5 главы 1 пп.1 доп</w:t>
      </w:r>
      <w:r w:rsidR="00EF7FA0">
        <w:rPr>
          <w:sz w:val="23"/>
          <w:szCs w:val="23"/>
        </w:rPr>
        <w:t>о</w:t>
      </w:r>
      <w:r w:rsidRPr="00496B59">
        <w:rPr>
          <w:sz w:val="23"/>
          <w:szCs w:val="23"/>
        </w:rPr>
        <w:t>лнить</w:t>
      </w:r>
    </w:p>
    <w:p w:rsidR="00496B59" w:rsidRPr="00496B59" w:rsidRDefault="00496B59" w:rsidP="00496B5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</w:rPr>
      </w:pPr>
      <w:bookmarkStart w:id="0" w:name="P1520"/>
      <w:bookmarkEnd w:id="0"/>
      <w:r w:rsidRPr="00496B59">
        <w:rPr>
          <w:rFonts w:eastAsiaTheme="minorEastAsia"/>
          <w:sz w:val="23"/>
          <w:szCs w:val="23"/>
        </w:rPr>
        <w:t>«-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территории;»</w:t>
      </w:r>
    </w:p>
    <w:p w:rsidR="00496B59" w:rsidRPr="00496B59" w:rsidRDefault="00496B59" w:rsidP="00496B59">
      <w:pPr>
        <w:pStyle w:val="af7"/>
        <w:numPr>
          <w:ilvl w:val="1"/>
          <w:numId w:val="13"/>
        </w:numPr>
        <w:ind w:left="0" w:right="4" w:firstLine="709"/>
        <w:jc w:val="both"/>
        <w:rPr>
          <w:sz w:val="23"/>
          <w:szCs w:val="23"/>
        </w:rPr>
      </w:pPr>
      <w:r w:rsidRPr="00496B59">
        <w:rPr>
          <w:sz w:val="23"/>
          <w:szCs w:val="23"/>
        </w:rPr>
        <w:t xml:space="preserve">главу </w:t>
      </w:r>
      <w:r w:rsidR="00EF7FA0">
        <w:rPr>
          <w:sz w:val="23"/>
          <w:szCs w:val="23"/>
        </w:rPr>
        <w:t>1</w:t>
      </w:r>
      <w:r w:rsidRPr="00496B59">
        <w:rPr>
          <w:sz w:val="23"/>
          <w:szCs w:val="23"/>
        </w:rPr>
        <w:t xml:space="preserve"> дополнить п 2.12 </w:t>
      </w:r>
    </w:p>
    <w:p w:rsidR="00496B59" w:rsidRPr="00496B59" w:rsidRDefault="00496B59" w:rsidP="00496B59">
      <w:pPr>
        <w:pStyle w:val="af7"/>
        <w:ind w:right="4"/>
        <w:jc w:val="both"/>
        <w:rPr>
          <w:sz w:val="23"/>
          <w:szCs w:val="23"/>
        </w:rPr>
      </w:pPr>
      <w:r w:rsidRPr="00496B59">
        <w:rPr>
          <w:sz w:val="23"/>
          <w:szCs w:val="23"/>
        </w:rPr>
        <w:lastRenderedPageBreak/>
        <w:t xml:space="preserve">«2.12. </w:t>
      </w:r>
      <w:r w:rsidRPr="00496B59">
        <w:rPr>
          <w:rFonts w:eastAsia="Calibri"/>
          <w:bCs/>
          <w:sz w:val="23"/>
          <w:szCs w:val="23"/>
        </w:rPr>
        <w:t>Ограничения использования земельных участков и объектов капитального строительства на территории полос воздушных подходов аэродромов и на приаэродромной территории</w:t>
      </w:r>
      <w:r w:rsidRPr="00496B59">
        <w:rPr>
          <w:sz w:val="23"/>
          <w:szCs w:val="23"/>
        </w:rPr>
        <w:t xml:space="preserve"> </w:t>
      </w:r>
    </w:p>
    <w:p w:rsidR="00496B59" w:rsidRPr="00496B59" w:rsidRDefault="00496B59" w:rsidP="00496B5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3"/>
          <w:szCs w:val="23"/>
        </w:rPr>
      </w:pPr>
      <w:r w:rsidRPr="00496B59">
        <w:rPr>
          <w:rFonts w:eastAsia="Calibri"/>
          <w:sz w:val="23"/>
          <w:szCs w:val="23"/>
        </w:rPr>
        <w:t xml:space="preserve">Ограничения использования земельных участков и объектов капитального строительства на территории полос воздушных подходов аэродромов и приаэродромной территорий устанавливаются в целях обеспечения безопасности полетов воздушных судов в соответствии с Воздушным </w:t>
      </w:r>
      <w:hyperlink r:id="rId7" w:history="1">
        <w:r w:rsidRPr="00496B59">
          <w:rPr>
            <w:rFonts w:eastAsia="Calibri"/>
            <w:sz w:val="23"/>
            <w:szCs w:val="23"/>
          </w:rPr>
          <w:t>кодексом</w:t>
        </w:r>
      </w:hyperlink>
      <w:r w:rsidRPr="00496B59">
        <w:rPr>
          <w:rFonts w:eastAsia="Calibri"/>
          <w:sz w:val="23"/>
          <w:szCs w:val="23"/>
        </w:rPr>
        <w:t xml:space="preserve"> Российской Федерации и принимаемыми в соответствии с ним нормативными правовыми актами исполнительных органов федеральной власти Российской Федерации. Содержание вышеуказанных ограничений определено Постановлением Правительства РФ от 02.12.2017 г.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территории».</w:t>
      </w:r>
    </w:p>
    <w:p w:rsidR="00496B59" w:rsidRPr="00496B59" w:rsidRDefault="00496B59" w:rsidP="00496B5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3"/>
          <w:szCs w:val="23"/>
        </w:rPr>
      </w:pPr>
      <w:r w:rsidRPr="00496B59">
        <w:rPr>
          <w:rFonts w:eastAsia="Calibri"/>
          <w:sz w:val="23"/>
          <w:szCs w:val="23"/>
        </w:rPr>
        <w:t>На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 (далее - ограничения использования объектов недвижимости и осуществления деятельности).</w:t>
      </w:r>
    </w:p>
    <w:p w:rsidR="00496B59" w:rsidRPr="00496B59" w:rsidRDefault="00496B59" w:rsidP="00496B59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3"/>
          <w:szCs w:val="23"/>
        </w:rPr>
      </w:pPr>
      <w:r w:rsidRPr="00496B59">
        <w:rPr>
          <w:rFonts w:eastAsiaTheme="minorEastAsia"/>
          <w:sz w:val="23"/>
          <w:szCs w:val="23"/>
        </w:rPr>
        <w:t>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</w:t>
      </w:r>
    </w:p>
    <w:p w:rsidR="00496B59" w:rsidRPr="00496B59" w:rsidRDefault="00496B59" w:rsidP="00496B59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496B59">
        <w:rPr>
          <w:rFonts w:eastAsiaTheme="minorEastAsia"/>
          <w:sz w:val="23"/>
          <w:szCs w:val="23"/>
        </w:rPr>
        <w:t>Приаэродромная территория является зоной с особыми условиями использования территорий.</w:t>
      </w:r>
    </w:p>
    <w:p w:rsidR="00496B59" w:rsidRPr="00496B59" w:rsidRDefault="00496B59" w:rsidP="00496B59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3"/>
          <w:szCs w:val="23"/>
        </w:rPr>
      </w:pPr>
      <w:r w:rsidRPr="00496B59">
        <w:rPr>
          <w:rFonts w:eastAsiaTheme="minorEastAsia"/>
          <w:sz w:val="23"/>
          <w:szCs w:val="23"/>
        </w:rPr>
        <w:t>На приаэродромной территории выделяются следующие подзоны, в которых устанавливаются ограничения использования объектов недвижимости и осуществления деятельности:</w:t>
      </w:r>
    </w:p>
    <w:p w:rsidR="00496B59" w:rsidRPr="00496B59" w:rsidRDefault="00E76FF3" w:rsidP="00496B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а</w:t>
      </w:r>
      <w:r w:rsidR="00496B59" w:rsidRPr="00496B59">
        <w:rPr>
          <w:rFonts w:eastAsiaTheme="minorEastAsia"/>
          <w:sz w:val="23"/>
          <w:szCs w:val="23"/>
        </w:rPr>
        <w:t>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496B59" w:rsidRPr="00496B59" w:rsidRDefault="00E76FF3" w:rsidP="00496B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б</w:t>
      </w:r>
      <w:r w:rsidR="00496B59" w:rsidRPr="00496B59">
        <w:rPr>
          <w:rFonts w:eastAsiaTheme="minorEastAsia"/>
          <w:sz w:val="23"/>
          <w:szCs w:val="23"/>
        </w:rPr>
        <w:t>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496B59" w:rsidRPr="00496B59" w:rsidRDefault="00E76FF3" w:rsidP="00496B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в</w:t>
      </w:r>
      <w:r w:rsidR="00496B59" w:rsidRPr="00496B59">
        <w:rPr>
          <w:rFonts w:eastAsiaTheme="minorEastAsia"/>
          <w:sz w:val="23"/>
          <w:szCs w:val="23"/>
        </w:rPr>
        <w:t>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</w:t>
      </w:r>
    </w:p>
    <w:p w:rsidR="00496B59" w:rsidRPr="00496B59" w:rsidRDefault="00E76FF3" w:rsidP="00496B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г</w:t>
      </w:r>
      <w:r w:rsidR="00496B59" w:rsidRPr="00496B59">
        <w:rPr>
          <w:rFonts w:eastAsiaTheme="minorEastAsia"/>
          <w:sz w:val="23"/>
          <w:szCs w:val="23"/>
        </w:rPr>
        <w:t>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496B59" w:rsidRPr="00496B59" w:rsidRDefault="00E76FF3" w:rsidP="00496B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д</w:t>
      </w:r>
      <w:r w:rsidR="00496B59" w:rsidRPr="00496B59">
        <w:rPr>
          <w:rFonts w:eastAsiaTheme="minorEastAsia"/>
          <w:sz w:val="23"/>
          <w:szCs w:val="23"/>
        </w:rPr>
        <w:t>) 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496B59" w:rsidRPr="00496B59" w:rsidRDefault="00E76FF3" w:rsidP="00496B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е</w:t>
      </w:r>
      <w:r w:rsidR="00496B59" w:rsidRPr="00496B59">
        <w:rPr>
          <w:rFonts w:eastAsiaTheme="minorEastAsia"/>
          <w:sz w:val="23"/>
          <w:szCs w:val="23"/>
        </w:rPr>
        <w:t>) шестая подзона, в которой запрещается размещать объекты, способствующие привлечению и массовому скоплению птиц;</w:t>
      </w:r>
    </w:p>
    <w:p w:rsidR="00496B59" w:rsidRPr="00496B59" w:rsidRDefault="00E76FF3" w:rsidP="00496B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ж</w:t>
      </w:r>
      <w:r w:rsidR="00496B59" w:rsidRPr="00496B59">
        <w:rPr>
          <w:rFonts w:eastAsiaTheme="minorEastAsia"/>
          <w:sz w:val="23"/>
          <w:szCs w:val="23"/>
        </w:rPr>
        <w:t>) седьмая подзона, в которой в целях предотвращения негативного физического воздействия устанавливается перечень ограничений использования земельных участков, определенный в соответствии с земельным законодательством с учетом положений настоящей статьи.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требованиям.»</w:t>
      </w:r>
    </w:p>
    <w:p w:rsidR="00141705" w:rsidRDefault="00496B59" w:rsidP="00496B59">
      <w:pPr>
        <w:spacing w:line="259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B707C6">
        <w:rPr>
          <w:sz w:val="23"/>
          <w:szCs w:val="23"/>
        </w:rPr>
        <w:t>2</w:t>
      </w:r>
      <w:r w:rsidR="00C60D5E" w:rsidRPr="00CE1195">
        <w:rPr>
          <w:sz w:val="23"/>
          <w:szCs w:val="23"/>
        </w:rPr>
        <w:t xml:space="preserve">. </w:t>
      </w:r>
      <w:r w:rsidR="00141705" w:rsidRPr="00496B59">
        <w:rPr>
          <w:sz w:val="23"/>
          <w:szCs w:val="23"/>
        </w:rPr>
        <w:t xml:space="preserve">Внести изменения в </w:t>
      </w:r>
      <w:r w:rsidR="00141705">
        <w:rPr>
          <w:sz w:val="23"/>
          <w:szCs w:val="23"/>
        </w:rPr>
        <w:t xml:space="preserve">графическую часть Правил </w:t>
      </w:r>
      <w:r w:rsidR="00141705" w:rsidRPr="00496B59">
        <w:rPr>
          <w:sz w:val="23"/>
          <w:szCs w:val="23"/>
        </w:rPr>
        <w:t>землепользования и застройки Бодайбин</w:t>
      </w:r>
      <w:r w:rsidR="00141705">
        <w:rPr>
          <w:sz w:val="23"/>
          <w:szCs w:val="23"/>
        </w:rPr>
        <w:t xml:space="preserve">ского муниципального образования, утвержденных </w:t>
      </w:r>
      <w:r w:rsidR="00141705" w:rsidRPr="00496B59">
        <w:rPr>
          <w:sz w:val="23"/>
          <w:szCs w:val="23"/>
        </w:rPr>
        <w:t>решение</w:t>
      </w:r>
      <w:r w:rsidR="00141705">
        <w:rPr>
          <w:sz w:val="23"/>
          <w:szCs w:val="23"/>
        </w:rPr>
        <w:t>м</w:t>
      </w:r>
      <w:r w:rsidR="00141705" w:rsidRPr="00496B59">
        <w:rPr>
          <w:sz w:val="23"/>
          <w:szCs w:val="23"/>
        </w:rPr>
        <w:t xml:space="preserve"> Думы Бодайбинского городского поселения от 26.05.2020 г. № 08-па «Об утверждении Правил землепользования и застройки Бодайбинск</w:t>
      </w:r>
      <w:r w:rsidR="00141705">
        <w:rPr>
          <w:sz w:val="23"/>
          <w:szCs w:val="23"/>
        </w:rPr>
        <w:t>ого муниципального образования»:</w:t>
      </w:r>
    </w:p>
    <w:p w:rsidR="00141705" w:rsidRPr="00141705" w:rsidRDefault="00141705" w:rsidP="00141705">
      <w:pPr>
        <w:pStyle w:val="a5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графическую часть </w:t>
      </w:r>
      <w:r w:rsidRPr="00141705">
        <w:rPr>
          <w:rFonts w:eastAsiaTheme="minorEastAsia"/>
          <w:sz w:val="23"/>
          <w:szCs w:val="23"/>
        </w:rPr>
        <w:t>дополнить приложением 3</w:t>
      </w:r>
    </w:p>
    <w:p w:rsidR="00141705" w:rsidRPr="00496B59" w:rsidRDefault="00141705" w:rsidP="0014170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96B59">
        <w:rPr>
          <w:rFonts w:eastAsiaTheme="minorEastAsia"/>
          <w:sz w:val="23"/>
          <w:szCs w:val="23"/>
        </w:rPr>
        <w:t>«Приложение 3. Карта зон действия ограничений приаэродромной территории аэродрома г. Бодайбо.»</w:t>
      </w:r>
    </w:p>
    <w:p w:rsidR="00C60D5E" w:rsidRPr="00CE1195" w:rsidRDefault="00141705" w:rsidP="00141705">
      <w:pPr>
        <w:spacing w:line="259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C60D5E" w:rsidRPr="00CE1195">
        <w:rPr>
          <w:sz w:val="23"/>
          <w:szCs w:val="23"/>
        </w:rPr>
        <w:t xml:space="preserve">Настоящее решение подлежит официальному опубликованию в периодическом печатном издании – бюллетене «Официальный вестник города Бодайбо» </w:t>
      </w:r>
      <w:r w:rsidR="00556AB2">
        <w:rPr>
          <w:sz w:val="23"/>
          <w:szCs w:val="23"/>
        </w:rPr>
        <w:t>и сетевом издании</w:t>
      </w:r>
      <w:r w:rsidR="00C60D5E" w:rsidRPr="00CE1195">
        <w:rPr>
          <w:sz w:val="23"/>
          <w:szCs w:val="23"/>
        </w:rPr>
        <w:t xml:space="preserve"> </w:t>
      </w:r>
      <w:hyperlink r:id="rId8" w:history="1">
        <w:r w:rsidR="00C60D5E" w:rsidRPr="00CE1195">
          <w:rPr>
            <w:sz w:val="23"/>
            <w:szCs w:val="23"/>
            <w:lang w:val="en-US"/>
          </w:rPr>
          <w:t>www</w:t>
        </w:r>
        <w:r w:rsidR="00C60D5E" w:rsidRPr="00CE1195">
          <w:rPr>
            <w:sz w:val="23"/>
            <w:szCs w:val="23"/>
          </w:rPr>
          <w:t>.</w:t>
        </w:r>
        <w:r w:rsidR="00C60D5E" w:rsidRPr="00CE1195">
          <w:rPr>
            <w:sz w:val="23"/>
            <w:szCs w:val="23"/>
            <w:lang w:val="en-US"/>
          </w:rPr>
          <w:t>uprava</w:t>
        </w:r>
        <w:r w:rsidR="00C60D5E" w:rsidRPr="00CE1195">
          <w:rPr>
            <w:sz w:val="23"/>
            <w:szCs w:val="23"/>
          </w:rPr>
          <w:t>-</w:t>
        </w:r>
        <w:r w:rsidR="00C60D5E" w:rsidRPr="00CE1195">
          <w:rPr>
            <w:sz w:val="23"/>
            <w:szCs w:val="23"/>
            <w:lang w:val="en-US"/>
          </w:rPr>
          <w:t>bodaibo</w:t>
        </w:r>
        <w:r w:rsidR="00C60D5E" w:rsidRPr="00CE1195">
          <w:rPr>
            <w:sz w:val="23"/>
            <w:szCs w:val="23"/>
          </w:rPr>
          <w:t>.</w:t>
        </w:r>
        <w:r w:rsidR="00C60D5E" w:rsidRPr="00CE1195">
          <w:rPr>
            <w:sz w:val="23"/>
            <w:szCs w:val="23"/>
            <w:lang w:val="en-US"/>
          </w:rPr>
          <w:t>ru</w:t>
        </w:r>
      </w:hyperlink>
      <w:r w:rsidR="00C60D5E" w:rsidRPr="00CE1195">
        <w:rPr>
          <w:sz w:val="23"/>
          <w:szCs w:val="23"/>
        </w:rPr>
        <w:t>.</w:t>
      </w:r>
    </w:p>
    <w:p w:rsidR="00C60D5E" w:rsidRPr="00CE1195" w:rsidRDefault="00B707C6" w:rsidP="00C60D5E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3</w:t>
      </w:r>
      <w:r w:rsidR="00C60D5E" w:rsidRPr="00CE1195">
        <w:rPr>
          <w:rFonts w:ascii="Times New Roman" w:hAnsi="Times New Roman" w:cs="Times New Roman"/>
          <w:sz w:val="23"/>
          <w:szCs w:val="23"/>
        </w:rPr>
        <w:t xml:space="preserve">. Настоящее решение вступает в силу после дня его официального опубликования.  </w:t>
      </w: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CE04BE" w:rsidRPr="006A6706" w:rsidRDefault="00CE04BE" w:rsidP="00CE04B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CE04BE" w:rsidRPr="006A6706" w:rsidRDefault="00CE04BE" w:rsidP="00CE04B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CE04BE" w:rsidRPr="006A6706" w:rsidRDefault="00CE04BE" w:rsidP="00CE04BE">
      <w:pPr>
        <w:rPr>
          <w:b/>
          <w:sz w:val="23"/>
          <w:szCs w:val="23"/>
        </w:rPr>
      </w:pPr>
    </w:p>
    <w:p w:rsidR="00CE04BE" w:rsidRPr="006A6706" w:rsidRDefault="00CE04BE" w:rsidP="00CE04B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___________________ А.А. Дударик                                        ________________ А.В. Дубков</w:t>
      </w:r>
      <w:bookmarkStart w:id="1" w:name="_GoBack"/>
      <w:bookmarkEnd w:id="1"/>
    </w:p>
    <w:sectPr w:rsidR="00CE04BE" w:rsidRPr="006A6706" w:rsidSect="00B23AA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D0" w:rsidRDefault="00623ED0" w:rsidP="005E3065">
      <w:r>
        <w:separator/>
      </w:r>
    </w:p>
  </w:endnote>
  <w:endnote w:type="continuationSeparator" w:id="0">
    <w:p w:rsidR="00623ED0" w:rsidRDefault="00623ED0" w:rsidP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D0" w:rsidRDefault="00623ED0" w:rsidP="005E3065">
      <w:r>
        <w:separator/>
      </w:r>
    </w:p>
  </w:footnote>
  <w:footnote w:type="continuationSeparator" w:id="0">
    <w:p w:rsidR="00623ED0" w:rsidRDefault="00623ED0" w:rsidP="005E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706F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2">
    <w:nsid w:val="289F09ED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8E747BD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4">
    <w:nsid w:val="4AFD1CC4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B617E12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6">
    <w:nsid w:val="51671C38"/>
    <w:multiLevelType w:val="hybridMultilevel"/>
    <w:tmpl w:val="F1BA2172"/>
    <w:lvl w:ilvl="0" w:tplc="B220F32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242E74"/>
    <w:multiLevelType w:val="hybridMultilevel"/>
    <w:tmpl w:val="A0C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C4F55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418F"/>
    <w:multiLevelType w:val="multilevel"/>
    <w:tmpl w:val="3A52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4B49F4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878FF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97711"/>
    <w:multiLevelType w:val="multilevel"/>
    <w:tmpl w:val="37E0F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7C04739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14">
    <w:nsid w:val="79190176"/>
    <w:multiLevelType w:val="multilevel"/>
    <w:tmpl w:val="4F4EE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A805000"/>
    <w:multiLevelType w:val="hybridMultilevel"/>
    <w:tmpl w:val="22FC672A"/>
    <w:lvl w:ilvl="0" w:tplc="14FA3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4"/>
    <w:rsid w:val="000527BE"/>
    <w:rsid w:val="00065ED2"/>
    <w:rsid w:val="000675D1"/>
    <w:rsid w:val="00074DE7"/>
    <w:rsid w:val="00096E63"/>
    <w:rsid w:val="001014F8"/>
    <w:rsid w:val="00125391"/>
    <w:rsid w:val="001347FD"/>
    <w:rsid w:val="00141705"/>
    <w:rsid w:val="001809B3"/>
    <w:rsid w:val="0018453C"/>
    <w:rsid w:val="00192FD6"/>
    <w:rsid w:val="001C7A28"/>
    <w:rsid w:val="00213809"/>
    <w:rsid w:val="00214DD8"/>
    <w:rsid w:val="002C0A55"/>
    <w:rsid w:val="002D2794"/>
    <w:rsid w:val="002F044F"/>
    <w:rsid w:val="003022B1"/>
    <w:rsid w:val="003031C1"/>
    <w:rsid w:val="00335CC0"/>
    <w:rsid w:val="003912DF"/>
    <w:rsid w:val="00393422"/>
    <w:rsid w:val="00427347"/>
    <w:rsid w:val="004532C8"/>
    <w:rsid w:val="00467626"/>
    <w:rsid w:val="004719B9"/>
    <w:rsid w:val="00496B59"/>
    <w:rsid w:val="004C00E1"/>
    <w:rsid w:val="004F6AB8"/>
    <w:rsid w:val="005030F2"/>
    <w:rsid w:val="00506CEA"/>
    <w:rsid w:val="00526264"/>
    <w:rsid w:val="0053603C"/>
    <w:rsid w:val="0055272F"/>
    <w:rsid w:val="00556AB2"/>
    <w:rsid w:val="005D38BF"/>
    <w:rsid w:val="005E3065"/>
    <w:rsid w:val="005F4D19"/>
    <w:rsid w:val="006176AA"/>
    <w:rsid w:val="00621080"/>
    <w:rsid w:val="00623ED0"/>
    <w:rsid w:val="00626810"/>
    <w:rsid w:val="00695AFD"/>
    <w:rsid w:val="006B0696"/>
    <w:rsid w:val="006B4FB1"/>
    <w:rsid w:val="007048A6"/>
    <w:rsid w:val="00711DD5"/>
    <w:rsid w:val="0072746F"/>
    <w:rsid w:val="008777A4"/>
    <w:rsid w:val="008D0DC7"/>
    <w:rsid w:val="008F260F"/>
    <w:rsid w:val="0090204E"/>
    <w:rsid w:val="00936EC5"/>
    <w:rsid w:val="00967C2F"/>
    <w:rsid w:val="009738A6"/>
    <w:rsid w:val="00980111"/>
    <w:rsid w:val="009A0DFA"/>
    <w:rsid w:val="009A13C1"/>
    <w:rsid w:val="009C08BC"/>
    <w:rsid w:val="00A16A74"/>
    <w:rsid w:val="00A235EE"/>
    <w:rsid w:val="00A31636"/>
    <w:rsid w:val="00A63063"/>
    <w:rsid w:val="00AE0FB2"/>
    <w:rsid w:val="00B03598"/>
    <w:rsid w:val="00B23AAD"/>
    <w:rsid w:val="00B33CE5"/>
    <w:rsid w:val="00B707C6"/>
    <w:rsid w:val="00B940C0"/>
    <w:rsid w:val="00B96B5D"/>
    <w:rsid w:val="00BE7EEA"/>
    <w:rsid w:val="00C12595"/>
    <w:rsid w:val="00C12973"/>
    <w:rsid w:val="00C60D5E"/>
    <w:rsid w:val="00C6376D"/>
    <w:rsid w:val="00CD54DF"/>
    <w:rsid w:val="00CE04BE"/>
    <w:rsid w:val="00D70F85"/>
    <w:rsid w:val="00D71025"/>
    <w:rsid w:val="00DA3425"/>
    <w:rsid w:val="00E00B6D"/>
    <w:rsid w:val="00E26745"/>
    <w:rsid w:val="00E43B85"/>
    <w:rsid w:val="00E76FF3"/>
    <w:rsid w:val="00E91CF5"/>
    <w:rsid w:val="00EB42C6"/>
    <w:rsid w:val="00ED710D"/>
    <w:rsid w:val="00EE2595"/>
    <w:rsid w:val="00EF7FA0"/>
    <w:rsid w:val="00F2059B"/>
    <w:rsid w:val="00F30C05"/>
    <w:rsid w:val="00F75854"/>
    <w:rsid w:val="00FC7027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5B6A-A9D3-4785-B523-4206AF4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6D"/>
    <w:pPr>
      <w:spacing w:after="0" w:line="240" w:lineRule="auto"/>
    </w:pPr>
  </w:style>
  <w:style w:type="character" w:styleId="a4">
    <w:name w:val="Hyperlink"/>
    <w:rsid w:val="00E00B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8A6"/>
    <w:pPr>
      <w:ind w:left="720"/>
      <w:contextualSpacing/>
    </w:pPr>
  </w:style>
  <w:style w:type="paragraph" w:styleId="a6">
    <w:name w:val="Body Text"/>
    <w:basedOn w:val="a"/>
    <w:link w:val="a7"/>
    <w:rsid w:val="007048A6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048A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37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3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6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205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5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5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F2059B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f7">
    <w:name w:val="???????"/>
    <w:rsid w:val="00496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54B6381C100078614BED6A371FCE48C27A17B48273DBFAC8D26C435F26C2FB66F3E76EA0957D24C928188FDr91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58</cp:revision>
  <cp:lastPrinted>2022-04-19T02:01:00Z</cp:lastPrinted>
  <dcterms:created xsi:type="dcterms:W3CDTF">2019-03-06T01:35:00Z</dcterms:created>
  <dcterms:modified xsi:type="dcterms:W3CDTF">2022-05-20T01:12:00Z</dcterms:modified>
</cp:coreProperties>
</file>