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761" w:rsidRDefault="00162761" w:rsidP="00162761">
      <w:pPr>
        <w:pStyle w:val="a3"/>
        <w:widowControl/>
        <w:tabs>
          <w:tab w:val="left" w:pos="1010"/>
        </w:tabs>
        <w:suppressAutoHyphens w:val="0"/>
        <w:spacing w:after="0"/>
        <w:jc w:val="center"/>
        <w:rPr>
          <w:b/>
          <w:lang w:val="ru-RU"/>
        </w:rPr>
      </w:pPr>
      <w:r w:rsidRPr="00C927E9">
        <w:rPr>
          <w:b/>
          <w:lang w:val="ru-RU"/>
        </w:rPr>
        <w:t>Пояснительная записка</w:t>
      </w:r>
    </w:p>
    <w:p w:rsidR="00162761" w:rsidRPr="00C927E9" w:rsidRDefault="00162761" w:rsidP="00162761">
      <w:pPr>
        <w:pStyle w:val="a3"/>
        <w:widowControl/>
        <w:tabs>
          <w:tab w:val="left" w:pos="1010"/>
        </w:tabs>
        <w:suppressAutoHyphens w:val="0"/>
        <w:spacing w:after="0"/>
        <w:jc w:val="center"/>
        <w:rPr>
          <w:b/>
          <w:lang w:val="ru-RU"/>
        </w:rPr>
      </w:pP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к проекту решения Думы Бодайбинского городского поселения «Об утверждении Порядка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на территории Бодайбинского муниципального образования</w:t>
      </w:r>
    </w:p>
    <w:p w:rsidR="00162761" w:rsidRPr="00CB6E62" w:rsidRDefault="00162761" w:rsidP="00162761">
      <w:pPr>
        <w:pStyle w:val="a3"/>
        <w:widowControl/>
        <w:tabs>
          <w:tab w:val="left" w:pos="1010"/>
        </w:tabs>
        <w:suppressAutoHyphens w:val="0"/>
        <w:spacing w:after="0"/>
        <w:jc w:val="both"/>
        <w:rPr>
          <w:sz w:val="22"/>
          <w:szCs w:val="22"/>
          <w:lang w:val="ru-RU"/>
        </w:rPr>
      </w:pPr>
    </w:p>
    <w:p w:rsidR="00162761" w:rsidRPr="00CB6E62" w:rsidRDefault="00162761" w:rsidP="00162761">
      <w:pPr>
        <w:pStyle w:val="a3"/>
        <w:widowControl/>
        <w:tabs>
          <w:tab w:val="left" w:pos="1010"/>
        </w:tabs>
        <w:suppressAutoHyphens w:val="0"/>
        <w:spacing w:after="0"/>
        <w:jc w:val="both"/>
        <w:rPr>
          <w:sz w:val="22"/>
          <w:szCs w:val="22"/>
          <w:lang w:val="ru-RU"/>
        </w:rPr>
      </w:pP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 xml:space="preserve">             Приватизация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(далее- объекты) осуществляется в общем порядке, </w:t>
      </w:r>
      <w:proofErr w:type="gramStart"/>
      <w:r w:rsidRPr="00CB6E62">
        <w:rPr>
          <w:sz w:val="22"/>
          <w:szCs w:val="22"/>
          <w:lang w:val="ru-RU"/>
        </w:rPr>
        <w:t>предусмотренном  Федеральным</w:t>
      </w:r>
      <w:proofErr w:type="gramEnd"/>
      <w:r w:rsidRPr="00CB6E62">
        <w:rPr>
          <w:sz w:val="22"/>
          <w:szCs w:val="22"/>
          <w:lang w:val="ru-RU"/>
        </w:rPr>
        <w:t xml:space="preserve"> законом от 21.12.2001 г. № 178-ФЗ «О приватизации государственного и муниципального имущества» (далее-Федеральный закон), однако есть и особенности. При принятии </w:t>
      </w:r>
      <w:proofErr w:type="gramStart"/>
      <w:r w:rsidRPr="00CB6E62">
        <w:rPr>
          <w:sz w:val="22"/>
          <w:szCs w:val="22"/>
          <w:lang w:val="ru-RU"/>
        </w:rPr>
        <w:t>решения  об</w:t>
      </w:r>
      <w:proofErr w:type="gramEnd"/>
      <w:r w:rsidRPr="00CB6E62">
        <w:rPr>
          <w:sz w:val="22"/>
          <w:szCs w:val="22"/>
          <w:lang w:val="ru-RU"/>
        </w:rPr>
        <w:t xml:space="preserve"> условиях приватизации, в отношении этих объектов должен быть установлен ряд обязательств. Одним </w:t>
      </w:r>
      <w:proofErr w:type="gramStart"/>
      <w:r w:rsidRPr="00CB6E62">
        <w:rPr>
          <w:sz w:val="22"/>
          <w:szCs w:val="22"/>
          <w:lang w:val="ru-RU"/>
        </w:rPr>
        <w:t>из  таких</w:t>
      </w:r>
      <w:proofErr w:type="gramEnd"/>
      <w:r w:rsidRPr="00CB6E62">
        <w:rPr>
          <w:sz w:val="22"/>
          <w:szCs w:val="22"/>
          <w:lang w:val="ru-RU"/>
        </w:rPr>
        <w:t xml:space="preserve"> обязательств является эксплуатационное обязательство.       </w:t>
      </w: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 xml:space="preserve">             Эксплуатационное обязательство - это обязательство по использованию по назначению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 xml:space="preserve">             Элементом условия эксплуатационных обязательств является обязанность приобретателя объектов предоставлять путем использования данных объектов потребителям и абонентам товары, оказывать услуги, а также обеспечивать им возможность получения данных товаров и услуг. При этом эти товары и услуги должны предоставляться потребителям и абонентам по регулируемым ценам (тарифам), то есть по ценам (тарифам), установленным в соответствии с федеральным законодательство органами, уполномоченными в сфере </w:t>
      </w:r>
      <w:proofErr w:type="gramStart"/>
      <w:r w:rsidRPr="00CB6E62">
        <w:rPr>
          <w:sz w:val="22"/>
          <w:szCs w:val="22"/>
          <w:lang w:val="ru-RU"/>
        </w:rPr>
        <w:t>регулирования  цен</w:t>
      </w:r>
      <w:proofErr w:type="gramEnd"/>
      <w:r w:rsidRPr="00CB6E62">
        <w:rPr>
          <w:sz w:val="22"/>
          <w:szCs w:val="22"/>
          <w:lang w:val="ru-RU"/>
        </w:rPr>
        <w:t xml:space="preserve"> (тарифов). Кроме </w:t>
      </w:r>
      <w:proofErr w:type="gramStart"/>
      <w:r w:rsidRPr="00CB6E62">
        <w:rPr>
          <w:sz w:val="22"/>
          <w:szCs w:val="22"/>
          <w:lang w:val="ru-RU"/>
        </w:rPr>
        <w:t>того,  в</w:t>
      </w:r>
      <w:proofErr w:type="gramEnd"/>
      <w:r w:rsidRPr="00CB6E62">
        <w:rPr>
          <w:sz w:val="22"/>
          <w:szCs w:val="22"/>
          <w:lang w:val="ru-RU"/>
        </w:rPr>
        <w:t xml:space="preserve"> содержание эксплуатационного обязательства включается максимальный период прекращения поставок потребителям и абонентам  соответствующих товаров, оказания услуг и допустимого объема не 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объектов.</w:t>
      </w: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 xml:space="preserve">        Приватизировать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w:t>
      </w:r>
    </w:p>
    <w:p w:rsidR="00162761" w:rsidRPr="00CB6E62" w:rsidRDefault="00162761" w:rsidP="00162761">
      <w:pPr>
        <w:pStyle w:val="a3"/>
        <w:widowControl/>
        <w:numPr>
          <w:ilvl w:val="0"/>
          <w:numId w:val="1"/>
        </w:numPr>
        <w:tabs>
          <w:tab w:val="left" w:pos="1010"/>
        </w:tabs>
        <w:suppressAutoHyphens w:val="0"/>
        <w:spacing w:after="0"/>
        <w:jc w:val="both"/>
        <w:rPr>
          <w:sz w:val="22"/>
          <w:szCs w:val="22"/>
          <w:lang w:val="ru-RU"/>
        </w:rPr>
      </w:pPr>
      <w:r w:rsidRPr="00CB6E62">
        <w:rPr>
          <w:sz w:val="22"/>
          <w:szCs w:val="22"/>
          <w:lang w:val="ru-RU"/>
        </w:rPr>
        <w:t>Унитарное предприятие, которому принадлежат такие объекты на соответствующем вещном праве (на праве хозяйственного ведения или на праве оперативного управления);</w:t>
      </w:r>
    </w:p>
    <w:p w:rsidR="00162761" w:rsidRPr="00CB6E62" w:rsidRDefault="00162761" w:rsidP="00162761">
      <w:pPr>
        <w:pStyle w:val="a3"/>
        <w:widowControl/>
        <w:numPr>
          <w:ilvl w:val="0"/>
          <w:numId w:val="1"/>
        </w:numPr>
        <w:tabs>
          <w:tab w:val="left" w:pos="1010"/>
        </w:tabs>
        <w:suppressAutoHyphens w:val="0"/>
        <w:spacing w:after="0"/>
        <w:jc w:val="both"/>
        <w:rPr>
          <w:sz w:val="22"/>
          <w:szCs w:val="22"/>
          <w:lang w:val="ru-RU"/>
        </w:rPr>
      </w:pPr>
      <w:r w:rsidRPr="00CB6E62">
        <w:rPr>
          <w:sz w:val="22"/>
          <w:szCs w:val="22"/>
          <w:lang w:val="ru-RU"/>
        </w:rPr>
        <w:t>Организация, которой принадлежат права владения и (или) пользования такими объектами (как правило на основании гражданско- правового договора, как договор аренды).</w:t>
      </w: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 xml:space="preserve">       Федеральным законом установлено, что контроль за исполнением условий эксплуатационных обязательств в отношении объектов электросетевого хозяйства, источников тепловой энергии, тепловых сетей, централизованных систем </w:t>
      </w:r>
      <w:proofErr w:type="gramStart"/>
      <w:r w:rsidRPr="00CB6E62">
        <w:rPr>
          <w:sz w:val="22"/>
          <w:szCs w:val="22"/>
          <w:lang w:val="ru-RU"/>
        </w:rPr>
        <w:t>горячего  водоснабжения</w:t>
      </w:r>
      <w:proofErr w:type="gramEnd"/>
      <w:r w:rsidRPr="00CB6E62">
        <w:rPr>
          <w:sz w:val="22"/>
          <w:szCs w:val="22"/>
          <w:lang w:val="ru-RU"/>
        </w:rPr>
        <w:t xml:space="preserve"> и отдельных объектов таких систем осуществляется  органами государственной власти субъектов Российской Федерации или органами местного самоуправления, которые приняли решения об условиях приватизации объектов.  Кроме того, вышеуказанные органы должны установить при этом порядок осуществления контроля за исполнением условий эксплуатационных обязательств.</w:t>
      </w:r>
    </w:p>
    <w:p w:rsidR="00162761" w:rsidRDefault="00162761" w:rsidP="00162761">
      <w:pPr>
        <w:pStyle w:val="a3"/>
        <w:widowControl/>
        <w:tabs>
          <w:tab w:val="left" w:pos="1010"/>
        </w:tabs>
        <w:suppressAutoHyphens w:val="0"/>
        <w:spacing w:after="0"/>
        <w:jc w:val="both"/>
        <w:rPr>
          <w:sz w:val="22"/>
          <w:szCs w:val="22"/>
          <w:lang w:val="ru-RU"/>
        </w:rPr>
      </w:pPr>
    </w:p>
    <w:p w:rsidR="00162761" w:rsidRDefault="00162761" w:rsidP="00162761">
      <w:pPr>
        <w:pStyle w:val="a3"/>
        <w:widowControl/>
        <w:tabs>
          <w:tab w:val="left" w:pos="1010"/>
        </w:tabs>
        <w:suppressAutoHyphens w:val="0"/>
        <w:spacing w:after="0"/>
        <w:jc w:val="both"/>
        <w:rPr>
          <w:sz w:val="22"/>
          <w:szCs w:val="22"/>
          <w:lang w:val="ru-RU"/>
        </w:rPr>
      </w:pPr>
    </w:p>
    <w:p w:rsidR="00162761" w:rsidRDefault="00162761" w:rsidP="00162761">
      <w:pPr>
        <w:pStyle w:val="a3"/>
        <w:widowControl/>
        <w:tabs>
          <w:tab w:val="left" w:pos="1010"/>
        </w:tabs>
        <w:suppressAutoHyphens w:val="0"/>
        <w:spacing w:after="0"/>
        <w:jc w:val="both"/>
        <w:rPr>
          <w:sz w:val="22"/>
          <w:szCs w:val="22"/>
          <w:lang w:val="ru-RU"/>
        </w:rPr>
      </w:pPr>
    </w:p>
    <w:p w:rsidR="00162761" w:rsidRPr="00CB6E62" w:rsidRDefault="00162761" w:rsidP="00162761">
      <w:pPr>
        <w:pStyle w:val="a3"/>
        <w:widowControl/>
        <w:tabs>
          <w:tab w:val="left" w:pos="1010"/>
        </w:tabs>
        <w:suppressAutoHyphens w:val="0"/>
        <w:spacing w:after="0"/>
        <w:jc w:val="both"/>
        <w:rPr>
          <w:sz w:val="22"/>
          <w:szCs w:val="22"/>
          <w:lang w:val="ru-RU"/>
        </w:rPr>
      </w:pP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Начальник отдела по управлению</w:t>
      </w:r>
    </w:p>
    <w:p w:rsidR="00162761" w:rsidRPr="00CB6E62" w:rsidRDefault="00162761" w:rsidP="00162761">
      <w:pPr>
        <w:pStyle w:val="a3"/>
        <w:widowControl/>
        <w:tabs>
          <w:tab w:val="left" w:pos="1010"/>
        </w:tabs>
        <w:suppressAutoHyphens w:val="0"/>
        <w:spacing w:after="0"/>
        <w:jc w:val="both"/>
        <w:rPr>
          <w:sz w:val="22"/>
          <w:szCs w:val="22"/>
          <w:lang w:val="ru-RU"/>
        </w:rPr>
      </w:pPr>
      <w:proofErr w:type="gramStart"/>
      <w:r w:rsidRPr="00CB6E62">
        <w:rPr>
          <w:sz w:val="22"/>
          <w:szCs w:val="22"/>
          <w:lang w:val="ru-RU"/>
        </w:rPr>
        <w:t>муниципальным  имуществом</w:t>
      </w:r>
      <w:proofErr w:type="gramEnd"/>
      <w:r w:rsidRPr="00CB6E62">
        <w:rPr>
          <w:sz w:val="22"/>
          <w:szCs w:val="22"/>
          <w:lang w:val="ru-RU"/>
        </w:rPr>
        <w:t xml:space="preserve">  и</w:t>
      </w:r>
    </w:p>
    <w:p w:rsidR="00162761" w:rsidRPr="00CB6E62" w:rsidRDefault="00162761" w:rsidP="00162761">
      <w:pPr>
        <w:pStyle w:val="a3"/>
        <w:widowControl/>
        <w:tabs>
          <w:tab w:val="left" w:pos="1010"/>
        </w:tabs>
        <w:suppressAutoHyphens w:val="0"/>
        <w:spacing w:after="0"/>
        <w:jc w:val="both"/>
        <w:rPr>
          <w:sz w:val="22"/>
          <w:szCs w:val="22"/>
          <w:lang w:val="ru-RU"/>
        </w:rPr>
      </w:pPr>
      <w:r w:rsidRPr="00CB6E62">
        <w:rPr>
          <w:sz w:val="22"/>
          <w:szCs w:val="22"/>
          <w:lang w:val="ru-RU"/>
        </w:rPr>
        <w:t>жилищно- социальным вопросам</w:t>
      </w:r>
    </w:p>
    <w:p w:rsidR="00162761" w:rsidRPr="00CB6E62" w:rsidRDefault="00162761" w:rsidP="00162761">
      <w:pPr>
        <w:pStyle w:val="a3"/>
        <w:widowControl/>
        <w:tabs>
          <w:tab w:val="left" w:pos="1010"/>
        </w:tabs>
        <w:suppressAutoHyphens w:val="0"/>
        <w:spacing w:after="0"/>
        <w:jc w:val="both"/>
        <w:rPr>
          <w:sz w:val="22"/>
          <w:szCs w:val="22"/>
          <w:lang w:val="ru-RU"/>
        </w:rPr>
      </w:pPr>
      <w:proofErr w:type="gramStart"/>
      <w:r w:rsidRPr="00CB6E62">
        <w:rPr>
          <w:sz w:val="22"/>
          <w:szCs w:val="22"/>
          <w:lang w:val="ru-RU"/>
        </w:rPr>
        <w:t>администрации  Бодайбинского</w:t>
      </w:r>
      <w:proofErr w:type="gramEnd"/>
    </w:p>
    <w:p w:rsidR="005C5BF7" w:rsidRDefault="00162761" w:rsidP="00162761">
      <w:r w:rsidRPr="00CB6E62">
        <w:t xml:space="preserve">городского поселения                                                                              </w:t>
      </w:r>
      <w:r>
        <w:t xml:space="preserve">           </w:t>
      </w:r>
      <w:r w:rsidRPr="00CB6E62">
        <w:t xml:space="preserve">           </w:t>
      </w:r>
      <w:proofErr w:type="spellStart"/>
      <w:r w:rsidRPr="00CB6E62">
        <w:t>И.В.</w:t>
      </w:r>
      <w:r>
        <w:t>Верницкая</w:t>
      </w:r>
      <w:bookmarkStart w:id="0" w:name="_GoBack"/>
      <w:bookmarkEnd w:id="0"/>
      <w:proofErr w:type="spellEnd"/>
    </w:p>
    <w:sectPr w:rsidR="005C5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4328C"/>
    <w:multiLevelType w:val="hybridMultilevel"/>
    <w:tmpl w:val="B5E21758"/>
    <w:lvl w:ilvl="0" w:tplc="6336865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3E"/>
    <w:rsid w:val="00162761"/>
    <w:rsid w:val="003C1738"/>
    <w:rsid w:val="0055353E"/>
    <w:rsid w:val="005C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50D43-4875-40ED-AAE7-2764DD5B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2761"/>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4">
    <w:name w:val="Основной текст Знак"/>
    <w:basedOn w:val="a0"/>
    <w:link w:val="a3"/>
    <w:rsid w:val="00162761"/>
    <w:rPr>
      <w:rFonts w:ascii="Times New Roman" w:eastAsia="Lucida Sans Unicode" w:hAnsi="Times New Roman" w:cs="Tahoma"/>
      <w:color w:val="000000"/>
      <w:sz w:val="24"/>
      <w:szCs w:val="24"/>
      <w:lang w:val="en-US" w:bidi="en-US"/>
    </w:rPr>
  </w:style>
  <w:style w:type="paragraph" w:styleId="a5">
    <w:name w:val="Balloon Text"/>
    <w:basedOn w:val="a"/>
    <w:link w:val="a6"/>
    <w:uiPriority w:val="99"/>
    <w:semiHidden/>
    <w:unhideWhenUsed/>
    <w:rsid w:val="001627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2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Ходарева Светлана Николаевна</dc:creator>
  <cp:keywords/>
  <dc:description/>
  <cp:lastModifiedBy>Ходарева Светлана Николаевна</cp:lastModifiedBy>
  <cp:revision>2</cp:revision>
  <cp:lastPrinted>2016-12-02T01:01:00Z</cp:lastPrinted>
  <dcterms:created xsi:type="dcterms:W3CDTF">2016-12-02T01:00:00Z</dcterms:created>
  <dcterms:modified xsi:type="dcterms:W3CDTF">2016-12-02T01:03:00Z</dcterms:modified>
</cp:coreProperties>
</file>